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CE90C7C"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2D0EDF">
        <w:rPr>
          <w:rFonts w:ascii="Times New Roman" w:hAnsi="Times New Roman"/>
          <w:b/>
          <w:i/>
          <w:sz w:val="24"/>
          <w:szCs w:val="24"/>
          <w:lang w:val="nl-NL"/>
        </w:rPr>
        <w:t>V</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C8344A">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0B61D8" w:rsidRDefault="00BE6F63" w:rsidP="00E73EAD">
      <w:pPr>
        <w:tabs>
          <w:tab w:val="left" w:pos="540"/>
        </w:tabs>
        <w:spacing w:before="120" w:after="0" w:line="240" w:lineRule="auto"/>
        <w:jc w:val="both"/>
        <w:rPr>
          <w:rFonts w:ascii="Times New Roman" w:hAnsi="Times New Roman"/>
          <w:b/>
          <w:sz w:val="24"/>
          <w:szCs w:val="24"/>
          <w:lang w:val="nl-NL"/>
        </w:rPr>
      </w:pPr>
      <w:r w:rsidRPr="000B61D8">
        <w:rPr>
          <w:rFonts w:ascii="Times New Roman" w:hAnsi="Times New Roman"/>
          <w:b/>
          <w:sz w:val="24"/>
          <w:szCs w:val="24"/>
          <w:lang w:val="nl-NL"/>
        </w:rPr>
        <w:t>1.</w:t>
      </w:r>
      <w:r w:rsidR="005858BC" w:rsidRPr="000B61D8">
        <w:rPr>
          <w:rFonts w:ascii="Times New Roman" w:hAnsi="Times New Roman"/>
          <w:b/>
          <w:sz w:val="24"/>
          <w:szCs w:val="24"/>
          <w:lang w:val="nl-NL"/>
        </w:rPr>
        <w:t>2.</w:t>
      </w:r>
      <w:r w:rsidRPr="000B61D8">
        <w:rPr>
          <w:rFonts w:ascii="Times New Roman" w:hAnsi="Times New Roman"/>
          <w:b/>
          <w:sz w:val="24"/>
          <w:szCs w:val="24"/>
          <w:lang w:val="nl-NL"/>
        </w:rPr>
        <w:t xml:space="preserve"> Mục tiêu của Quỹ:</w:t>
      </w:r>
    </w:p>
    <w:p w14:paraId="0AF61AAD" w14:textId="77777777" w:rsidR="005858BC" w:rsidRPr="000B61D8" w:rsidRDefault="005858BC" w:rsidP="00E73EAD">
      <w:pPr>
        <w:tabs>
          <w:tab w:val="left" w:pos="540"/>
        </w:tabs>
        <w:spacing w:before="120" w:after="0" w:line="240" w:lineRule="auto"/>
        <w:jc w:val="both"/>
        <w:rPr>
          <w:rFonts w:ascii="Times New Roman" w:eastAsiaTheme="minorEastAsia" w:hAnsi="Times New Roman"/>
          <w:sz w:val="24"/>
          <w:szCs w:val="24"/>
        </w:rPr>
      </w:pPr>
      <w:proofErr w:type="spellStart"/>
      <w:r w:rsidRPr="000B61D8">
        <w:rPr>
          <w:rFonts w:ascii="Times New Roman" w:eastAsiaTheme="minorEastAsia" w:hAnsi="Times New Roman"/>
          <w:sz w:val="24"/>
          <w:szCs w:val="24"/>
        </w:rPr>
        <w:t>Quỹ</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hướng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tới</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mục</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tiêu</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tăng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trưởng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bền</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vững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trong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trung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và</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dài</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hạn</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thông</w:t>
      </w:r>
      <w:proofErr w:type="spellEnd"/>
      <w:r w:rsidRPr="000B61D8">
        <w:rPr>
          <w:rFonts w:ascii="Times New Roman" w:eastAsiaTheme="minorEastAsia" w:hAnsi="Times New Roman"/>
          <w:sz w:val="24"/>
          <w:szCs w:val="24"/>
        </w:rPr>
        <w:t xml:space="preserve"> qua </w:t>
      </w:r>
      <w:proofErr w:type="spellStart"/>
      <w:r w:rsidRPr="000B61D8">
        <w:rPr>
          <w:rFonts w:ascii="Times New Roman" w:eastAsiaTheme="minorEastAsia" w:hAnsi="Times New Roman"/>
          <w:sz w:val="24"/>
          <w:szCs w:val="24"/>
        </w:rPr>
        <w:t>việc</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đầu</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tư</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vào</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các</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tài</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sản</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thu</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nhập</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cố</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định</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có</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chất</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lượng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tín</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dụng</w:t>
      </w:r>
      <w:proofErr w:type="spellEnd"/>
      <w:r w:rsidRPr="000B61D8">
        <w:rPr>
          <w:rFonts w:ascii="Times New Roman" w:eastAsiaTheme="minorEastAsia" w:hAnsi="Times New Roman"/>
          <w:sz w:val="24"/>
          <w:szCs w:val="24"/>
        </w:rPr>
        <w:t xml:space="preserve"> </w:t>
      </w:r>
      <w:proofErr w:type="spellStart"/>
      <w:r w:rsidRPr="000B61D8">
        <w:rPr>
          <w:rFonts w:ascii="Times New Roman" w:eastAsiaTheme="minorEastAsia" w:hAnsi="Times New Roman"/>
          <w:sz w:val="24"/>
          <w:szCs w:val="24"/>
        </w:rPr>
        <w:t>tốt</w:t>
      </w:r>
      <w:proofErr w:type="spellEnd"/>
      <w:r w:rsidRPr="000B61D8">
        <w:rPr>
          <w:rFonts w:ascii="Times New Roman" w:eastAsiaTheme="minorEastAsia" w:hAnsi="Times New Roman"/>
          <w:sz w:val="24"/>
          <w:szCs w:val="24"/>
        </w:rPr>
        <w:t>.</w:t>
      </w:r>
    </w:p>
    <w:p w14:paraId="72ED9833" w14:textId="64F1FB78" w:rsidR="00BE6F63" w:rsidRPr="000B61D8" w:rsidRDefault="005858BC" w:rsidP="00E73EAD">
      <w:pPr>
        <w:tabs>
          <w:tab w:val="left" w:pos="540"/>
        </w:tabs>
        <w:spacing w:before="120" w:after="0" w:line="240" w:lineRule="auto"/>
        <w:jc w:val="both"/>
        <w:rPr>
          <w:rFonts w:ascii="Times New Roman" w:hAnsi="Times New Roman"/>
          <w:b/>
          <w:sz w:val="24"/>
          <w:szCs w:val="24"/>
          <w:lang w:val="nl-NL"/>
        </w:rPr>
      </w:pPr>
      <w:r w:rsidRPr="000B61D8">
        <w:rPr>
          <w:rFonts w:ascii="Times New Roman" w:eastAsiaTheme="minorEastAsia" w:hAnsi="Times New Roman"/>
          <w:b/>
          <w:bCs/>
          <w:sz w:val="24"/>
          <w:szCs w:val="24"/>
        </w:rPr>
        <w:t>1.</w:t>
      </w:r>
      <w:r w:rsidR="00BE6F63" w:rsidRPr="000B61D8">
        <w:rPr>
          <w:rFonts w:ascii="Times New Roman" w:hAnsi="Times New Roman"/>
          <w:b/>
          <w:sz w:val="24"/>
          <w:szCs w:val="24"/>
          <w:lang w:val="nl-NL"/>
        </w:rPr>
        <w:t>2. Hiệu quả hoạt động của Quỹ:</w:t>
      </w:r>
    </w:p>
    <w:p w14:paraId="4244729A" w14:textId="32561688" w:rsidR="0097528B" w:rsidRPr="000B61D8" w:rsidRDefault="0097528B" w:rsidP="00E73EAD">
      <w:pPr>
        <w:tabs>
          <w:tab w:val="left" w:pos="540"/>
        </w:tabs>
        <w:spacing w:before="120" w:after="0" w:line="240" w:lineRule="auto"/>
        <w:jc w:val="both"/>
        <w:rPr>
          <w:rFonts w:ascii="Times New Roman" w:hAnsi="Times New Roman"/>
          <w:sz w:val="24"/>
          <w:szCs w:val="24"/>
          <w:lang w:val="nl-NL"/>
        </w:rPr>
      </w:pPr>
      <w:r w:rsidRPr="000B61D8">
        <w:rPr>
          <w:rFonts w:ascii="Times New Roman" w:hAnsi="Times New Roman"/>
          <w:sz w:val="24"/>
          <w:szCs w:val="24"/>
          <w:lang w:val="nl-NL"/>
        </w:rPr>
        <w:t xml:space="preserve">Tính đến cuối kỳ báo cáo, thay đổi giá trị tài sản ròng (NAV) của Quỹ là </w:t>
      </w:r>
      <w:r w:rsidR="00116322" w:rsidRPr="000B61D8">
        <w:rPr>
          <w:rFonts w:ascii="Times New Roman" w:hAnsi="Times New Roman"/>
          <w:sz w:val="24"/>
          <w:szCs w:val="24"/>
          <w:lang w:val="nl-NL"/>
        </w:rPr>
        <w:t>2,19</w:t>
      </w:r>
      <w:r w:rsidR="008B61F4" w:rsidRPr="000B61D8">
        <w:rPr>
          <w:rFonts w:ascii="Times New Roman" w:hAnsi="Times New Roman"/>
          <w:sz w:val="24"/>
          <w:szCs w:val="24"/>
          <w:lang w:val="nl-NL"/>
        </w:rPr>
        <w:t xml:space="preserve">% </w:t>
      </w:r>
      <w:r w:rsidRPr="000B61D8">
        <w:rPr>
          <w:rFonts w:ascii="Times New Roman" w:hAnsi="Times New Roman"/>
          <w:sz w:val="24"/>
          <w:szCs w:val="24"/>
          <w:lang w:val="nl-NL"/>
        </w:rPr>
        <w:t>so với giá trị tài sản ròng của quỹ đầu kỳ báo cáo.</w:t>
      </w:r>
    </w:p>
    <w:p w14:paraId="0CB40711" w14:textId="26B9D59B" w:rsidR="00BE6F63" w:rsidRPr="000B61D8"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B61D8">
        <w:rPr>
          <w:rFonts w:ascii="Times New Roman" w:hAnsi="Times New Roman"/>
          <w:b/>
          <w:sz w:val="24"/>
          <w:szCs w:val="24"/>
          <w:lang w:val="nl-NL"/>
        </w:rPr>
        <w:t>1.</w:t>
      </w:r>
      <w:r w:rsidR="00BE6F63" w:rsidRPr="000B61D8">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0B61D8">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w:t>
      </w:r>
      <w:r w:rsidRPr="001C531F">
        <w:rPr>
          <w:rFonts w:ascii="Times New Roman" w:hAnsi="Times New Roman"/>
          <w:bCs/>
          <w:sz w:val="24"/>
          <w:szCs w:val="24"/>
          <w:lang w:val="nl-NL"/>
        </w:rPr>
        <w:t xml:space="preserve">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Chính</w:t>
      </w:r>
      <w:proofErr w:type="spellEnd"/>
      <w:r w:rsidRPr="001C531F">
        <w:rPr>
          <w:rFonts w:ascii="Times New Roman" w:hAnsi="Times New Roman"/>
          <w:bCs/>
          <w:sz w:val="24"/>
          <w:szCs w:val="24"/>
        </w:rPr>
        <w:t xml:space="preserve">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6E404A"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7A2D4E" w:rsidRPr="006E404A">
        <w:rPr>
          <w:rFonts w:ascii="Times New Roman" w:hAnsi="Times New Roman"/>
          <w:b/>
          <w:sz w:val="24"/>
          <w:szCs w:val="24"/>
          <w:lang w:val="nl-NL"/>
        </w:rPr>
        <w:t>5. Thời gian khuyến cáo đầu tư của Quỹ:</w:t>
      </w:r>
    </w:p>
    <w:p w14:paraId="31CE21CF" w14:textId="77777777" w:rsidR="00B6043B" w:rsidRPr="006E404A"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0B61D8"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B61D8">
        <w:rPr>
          <w:rFonts w:ascii="Times New Roman" w:hAnsi="Times New Roman"/>
          <w:b/>
          <w:sz w:val="24"/>
          <w:szCs w:val="24"/>
          <w:lang w:val="nl-NL"/>
        </w:rPr>
        <w:t>1.</w:t>
      </w:r>
      <w:r w:rsidR="00BE6F63" w:rsidRPr="000B61D8">
        <w:rPr>
          <w:rFonts w:ascii="Times New Roman" w:hAnsi="Times New Roman"/>
          <w:b/>
          <w:sz w:val="24"/>
          <w:szCs w:val="24"/>
          <w:lang w:val="nl-NL"/>
        </w:rPr>
        <w:t>6. Mức độ rủi ro ngắn hạn:</w:t>
      </w:r>
    </w:p>
    <w:p w14:paraId="1CE191BC" w14:textId="77777777" w:rsidR="00922567" w:rsidRPr="000B61D8"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0B61D8">
        <w:rPr>
          <w:rFonts w:ascii="Times New Roman" w:hAnsi="Times New Roman"/>
          <w:sz w:val="24"/>
          <w:szCs w:val="24"/>
          <w:lang w:val="nl-NL"/>
        </w:rPr>
        <w:t>Quỹ có mức độ rủi ro ngắn hạn thấp</w:t>
      </w:r>
    </w:p>
    <w:p w14:paraId="12C124B4" w14:textId="4B89C025" w:rsidR="00BE6F63" w:rsidRPr="000B61D8"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B61D8">
        <w:rPr>
          <w:rFonts w:ascii="Times New Roman" w:hAnsi="Times New Roman"/>
          <w:b/>
          <w:sz w:val="24"/>
          <w:szCs w:val="24"/>
          <w:lang w:val="nl-NL"/>
        </w:rPr>
        <w:t>1.</w:t>
      </w:r>
      <w:r w:rsidR="00BE6F63" w:rsidRPr="000B61D8">
        <w:rPr>
          <w:rFonts w:ascii="Times New Roman" w:hAnsi="Times New Roman"/>
          <w:b/>
          <w:sz w:val="24"/>
          <w:szCs w:val="24"/>
          <w:lang w:val="nl-NL"/>
        </w:rPr>
        <w:t>7. Thời điểm bắt đầu hoạt động của Quỹ:</w:t>
      </w:r>
    </w:p>
    <w:p w14:paraId="16A9C2F8" w14:textId="4F414FB3" w:rsidR="00494F7E" w:rsidRPr="000B61D8"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0B61D8">
        <w:rPr>
          <w:rFonts w:ascii="Times New Roman" w:hAnsi="Times New Roman"/>
          <w:sz w:val="24"/>
          <w:szCs w:val="24"/>
          <w:lang w:val="nl-NL"/>
        </w:rPr>
        <w:t xml:space="preserve">Quỹ bắt đầu hoạt động từ ngày </w:t>
      </w:r>
      <w:r w:rsidR="000C4474" w:rsidRPr="000B61D8">
        <w:rPr>
          <w:rFonts w:ascii="Times New Roman" w:hAnsi="Times New Roman"/>
          <w:sz w:val="24"/>
          <w:szCs w:val="24"/>
          <w:lang w:val="nl-NL"/>
        </w:rPr>
        <w:t>0</w:t>
      </w:r>
      <w:r w:rsidR="007808C8" w:rsidRPr="000B61D8">
        <w:rPr>
          <w:rFonts w:ascii="Times New Roman" w:hAnsi="Times New Roman"/>
          <w:sz w:val="24"/>
          <w:szCs w:val="24"/>
          <w:lang w:val="nl-NL"/>
        </w:rPr>
        <w:t>4</w:t>
      </w:r>
      <w:r w:rsidRPr="000B61D8">
        <w:rPr>
          <w:rFonts w:ascii="Times New Roman" w:hAnsi="Times New Roman"/>
          <w:sz w:val="24"/>
          <w:szCs w:val="24"/>
          <w:lang w:val="nl-NL"/>
        </w:rPr>
        <w:t xml:space="preserve"> tháng </w:t>
      </w:r>
      <w:r w:rsidR="000C4474" w:rsidRPr="000B61D8">
        <w:rPr>
          <w:rFonts w:ascii="Times New Roman" w:hAnsi="Times New Roman"/>
          <w:sz w:val="24"/>
          <w:szCs w:val="24"/>
          <w:lang w:val="nl-NL"/>
        </w:rPr>
        <w:t>0</w:t>
      </w:r>
      <w:r w:rsidR="007808C8" w:rsidRPr="000B61D8">
        <w:rPr>
          <w:rFonts w:ascii="Times New Roman" w:hAnsi="Times New Roman"/>
          <w:sz w:val="24"/>
          <w:szCs w:val="24"/>
          <w:lang w:val="nl-NL"/>
        </w:rPr>
        <w:t>2</w:t>
      </w:r>
      <w:r w:rsidRPr="000B61D8">
        <w:rPr>
          <w:rFonts w:ascii="Times New Roman" w:hAnsi="Times New Roman"/>
          <w:sz w:val="24"/>
          <w:szCs w:val="24"/>
          <w:lang w:val="nl-NL"/>
        </w:rPr>
        <w:t xml:space="preserve"> năm 20</w:t>
      </w:r>
      <w:r w:rsidR="007808C8" w:rsidRPr="000B61D8">
        <w:rPr>
          <w:rFonts w:ascii="Times New Roman" w:hAnsi="Times New Roman"/>
          <w:sz w:val="24"/>
          <w:szCs w:val="24"/>
          <w:lang w:val="nl-NL"/>
        </w:rPr>
        <w:t>21</w:t>
      </w:r>
    </w:p>
    <w:p w14:paraId="09A952B4" w14:textId="6F751843" w:rsidR="00BE6F63" w:rsidRPr="006E404A"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0B61D8">
        <w:rPr>
          <w:rFonts w:ascii="Times New Roman" w:hAnsi="Times New Roman"/>
          <w:b/>
          <w:sz w:val="24"/>
          <w:szCs w:val="24"/>
          <w:lang w:val="nl-NL"/>
        </w:rPr>
        <w:t>1.</w:t>
      </w:r>
      <w:r w:rsidR="00BE6F63" w:rsidRPr="000B61D8">
        <w:rPr>
          <w:rFonts w:ascii="Times New Roman" w:hAnsi="Times New Roman"/>
          <w:b/>
          <w:sz w:val="24"/>
          <w:szCs w:val="24"/>
          <w:lang w:val="nl-NL"/>
        </w:rPr>
        <w:t>8. Quy mô Quỹ tại thời điểm báo cáo</w:t>
      </w:r>
    </w:p>
    <w:p w14:paraId="5CAB333D" w14:textId="571F87FF" w:rsidR="00807726" w:rsidRPr="00E95858"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0B61D8">
        <w:rPr>
          <w:rFonts w:ascii="Times New Roman" w:hAnsi="Times New Roman"/>
          <w:sz w:val="24"/>
          <w:szCs w:val="24"/>
          <w:lang w:val="nl-NL"/>
        </w:rPr>
        <w:t>Tại ngày 3</w:t>
      </w:r>
      <w:r w:rsidR="002D0EDF" w:rsidRPr="000B61D8">
        <w:rPr>
          <w:rFonts w:ascii="Times New Roman" w:hAnsi="Times New Roman"/>
          <w:sz w:val="24"/>
          <w:szCs w:val="24"/>
          <w:lang w:val="nl-NL"/>
        </w:rPr>
        <w:t>1</w:t>
      </w:r>
      <w:r w:rsidRPr="000B61D8">
        <w:rPr>
          <w:rFonts w:ascii="Times New Roman" w:hAnsi="Times New Roman"/>
          <w:sz w:val="24"/>
          <w:szCs w:val="24"/>
          <w:lang w:val="nl-NL"/>
        </w:rPr>
        <w:t xml:space="preserve"> tháng </w:t>
      </w:r>
      <w:r w:rsidR="002D0EDF" w:rsidRPr="000B61D8">
        <w:rPr>
          <w:rFonts w:ascii="Times New Roman" w:hAnsi="Times New Roman"/>
          <w:sz w:val="24"/>
          <w:szCs w:val="24"/>
          <w:lang w:val="nl-NL"/>
        </w:rPr>
        <w:t>12</w:t>
      </w:r>
      <w:r w:rsidRPr="000B61D8">
        <w:rPr>
          <w:rFonts w:ascii="Times New Roman" w:hAnsi="Times New Roman"/>
          <w:sz w:val="24"/>
          <w:szCs w:val="24"/>
          <w:lang w:val="nl-NL"/>
        </w:rPr>
        <w:t xml:space="preserve"> năm 202</w:t>
      </w:r>
      <w:r w:rsidR="00C8344A" w:rsidRPr="000B61D8">
        <w:rPr>
          <w:rFonts w:ascii="Times New Roman" w:hAnsi="Times New Roman"/>
          <w:sz w:val="24"/>
          <w:szCs w:val="24"/>
          <w:lang w:val="nl-NL"/>
        </w:rPr>
        <w:t>4</w:t>
      </w:r>
      <w:r w:rsidRPr="000B61D8">
        <w:rPr>
          <w:rFonts w:ascii="Times New Roman" w:hAnsi="Times New Roman"/>
          <w:sz w:val="24"/>
          <w:szCs w:val="24"/>
          <w:lang w:val="nl-NL"/>
        </w:rPr>
        <w:t xml:space="preserve">, số lượng chứng chỉ quỹ (“CCQ”) đang lưu hành của Quỹ là </w:t>
      </w:r>
      <w:r w:rsidR="00116322" w:rsidRPr="000B61D8">
        <w:rPr>
          <w:rFonts w:ascii="Times New Roman" w:hAnsi="Times New Roman"/>
          <w:sz w:val="24"/>
          <w:szCs w:val="24"/>
          <w:lang w:val="nl-NL"/>
        </w:rPr>
        <w:t xml:space="preserve">6.675.156,03 </w:t>
      </w:r>
      <w:r w:rsidRPr="000B61D8">
        <w:rPr>
          <w:rFonts w:ascii="Times New Roman" w:hAnsi="Times New Roman"/>
          <w:sz w:val="24"/>
          <w:szCs w:val="24"/>
          <w:lang w:val="nl-NL"/>
        </w:rPr>
        <w:t xml:space="preserve">CCQ, tương đương với quy mô vốn của Quỹ theo mệnh giá là </w:t>
      </w:r>
      <w:r w:rsidR="00116322" w:rsidRPr="000B61D8">
        <w:rPr>
          <w:rFonts w:ascii="Times New Roman" w:hAnsi="Times New Roman"/>
          <w:sz w:val="24"/>
          <w:szCs w:val="24"/>
          <w:lang w:val="nl-NL"/>
        </w:rPr>
        <w:t xml:space="preserve">66.751.560.300 </w:t>
      </w:r>
      <w:r w:rsidRPr="000B61D8">
        <w:rPr>
          <w:rFonts w:ascii="Times New Roman" w:hAnsi="Times New Roman"/>
          <w:sz w:val="24"/>
          <w:szCs w:val="24"/>
          <w:lang w:val="nl-NL"/>
        </w:rPr>
        <w:t>Đồng Việt Nam (“VND”).</w:t>
      </w:r>
    </w:p>
    <w:p w14:paraId="217E359E" w14:textId="3AC96EC4"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9. Chỉ số tham chiếu của</w:t>
      </w:r>
      <w:r w:rsidR="00BE6F63" w:rsidRPr="006E404A">
        <w:rPr>
          <w:rFonts w:ascii="Times New Roman" w:hAnsi="Times New Roman"/>
          <w:b/>
          <w:sz w:val="24"/>
          <w:szCs w:val="24"/>
          <w:lang w:val="nl-NL"/>
        </w:rPr>
        <w:t xml:space="preserve"> Quỹ:</w:t>
      </w:r>
    </w:p>
    <w:p w14:paraId="01DBA447" w14:textId="77777777" w:rsidR="00494F7E" w:rsidRPr="006E404A"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Quỹ không áp dụng chỉ số tham chiếu</w:t>
      </w:r>
    </w:p>
    <w:p w14:paraId="6239DBE8" w14:textId="7496AF65" w:rsidR="00BE6F63" w:rsidRPr="00E95858"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0B61D8">
        <w:rPr>
          <w:rFonts w:ascii="Times New Roman" w:hAnsi="Times New Roman"/>
          <w:b/>
          <w:sz w:val="24"/>
          <w:szCs w:val="24"/>
          <w:lang w:val="nl-NL"/>
        </w:rPr>
        <w:t>1.</w:t>
      </w:r>
      <w:r w:rsidR="00BE6F63" w:rsidRPr="000B61D8">
        <w:rPr>
          <w:rFonts w:ascii="Times New Roman" w:hAnsi="Times New Roman"/>
          <w:b/>
          <w:sz w:val="24"/>
          <w:szCs w:val="24"/>
          <w:lang w:val="nl-NL"/>
        </w:rPr>
        <w:t>10. Chính sách phân phối lợi nhuận của Quỹ:</w:t>
      </w:r>
    </w:p>
    <w:p w14:paraId="45E88DC3"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E95858">
        <w:rPr>
          <w:rFonts w:ascii="Times New Roman" w:hAnsi="Times New Roman"/>
          <w:sz w:val="24"/>
          <w:szCs w:val="24"/>
          <w:lang w:val="nl-NL"/>
        </w:rPr>
        <w:t>Như đã được đề cập trong Bản cáo bạch, Quỹ đầu tư chủ</w:t>
      </w:r>
      <w:r w:rsidRPr="006E404A">
        <w:rPr>
          <w:rFonts w:ascii="Times New Roman" w:hAnsi="Times New Roman"/>
          <w:sz w:val="24"/>
          <w:szCs w:val="24"/>
          <w:lang w:val="nl-NL"/>
        </w:rPr>
        <w:t xml:space="preserve">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05934AB5"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7EA5C58F"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38990DEA"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62B7935C"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379D29F5"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35F674F"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1E0B0A3B"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B61D8">
        <w:rPr>
          <w:rFonts w:ascii="Times New Roman" w:hAnsi="Times New Roman"/>
          <w:b/>
          <w:sz w:val="24"/>
          <w:szCs w:val="24"/>
          <w:lang w:val="nl-NL"/>
        </w:rPr>
        <w:t>1.</w:t>
      </w:r>
      <w:r w:rsidR="00BE6F63" w:rsidRPr="000B61D8">
        <w:rPr>
          <w:rFonts w:ascii="Times New Roman" w:hAnsi="Times New Roman"/>
          <w:b/>
          <w:sz w:val="24"/>
          <w:szCs w:val="24"/>
          <w:lang w:val="nl-NL"/>
        </w:rPr>
        <w:t xml:space="preserve">11. Lợi nhuận thuần thực tế phân phối trên một đơn vị Chứng chỉ </w:t>
      </w:r>
      <w:r w:rsidR="008F2B2D" w:rsidRPr="000B61D8">
        <w:rPr>
          <w:rFonts w:ascii="Times New Roman" w:hAnsi="Times New Roman"/>
          <w:b/>
          <w:sz w:val="24"/>
          <w:szCs w:val="24"/>
          <w:lang w:val="nl-NL"/>
        </w:rPr>
        <w:t>Q</w:t>
      </w:r>
      <w:r w:rsidR="00BE6F63" w:rsidRPr="000B61D8">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761EF8"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61EF8">
        <w:rPr>
          <w:rFonts w:ascii="Times New Roman" w:hAnsi="Times New Roman"/>
          <w:b/>
          <w:sz w:val="24"/>
          <w:szCs w:val="24"/>
          <w:lang w:val="nl-NL"/>
        </w:rPr>
        <w:t>2</w:t>
      </w:r>
      <w:r w:rsidR="00BE6F63" w:rsidRPr="00761EF8">
        <w:rPr>
          <w:rFonts w:ascii="Times New Roman" w:hAnsi="Times New Roman"/>
          <w:b/>
          <w:sz w:val="24"/>
          <w:szCs w:val="24"/>
          <w:lang w:val="nl-NL"/>
        </w:rPr>
        <w:t>. Số liệu hoạt động</w:t>
      </w:r>
    </w:p>
    <w:p w14:paraId="4BC8CBAF" w14:textId="040F1946" w:rsidR="00BE6F63" w:rsidRPr="00761EF8"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761EF8">
        <w:rPr>
          <w:rFonts w:ascii="Times New Roman" w:hAnsi="Times New Roman"/>
          <w:b/>
          <w:sz w:val="24"/>
          <w:szCs w:val="24"/>
          <w:lang w:val="nl-NL"/>
        </w:rPr>
        <w:t>2.</w:t>
      </w:r>
      <w:r w:rsidR="00315A8E" w:rsidRPr="00761EF8">
        <w:rPr>
          <w:rFonts w:ascii="Times New Roman" w:hAnsi="Times New Roman"/>
          <w:b/>
          <w:sz w:val="24"/>
          <w:szCs w:val="24"/>
          <w:lang w:val="nl-NL"/>
        </w:rPr>
        <w:t xml:space="preserve">1. </w:t>
      </w:r>
      <w:r w:rsidR="00BE6F63" w:rsidRPr="00761EF8">
        <w:rPr>
          <w:rFonts w:ascii="Times New Roman" w:hAnsi="Times New Roman"/>
          <w:b/>
          <w:sz w:val="24"/>
          <w:szCs w:val="24"/>
          <w:lang w:val="nl-NL"/>
        </w:rPr>
        <w:t>Cơ cấu tài sản quỹ</w:t>
      </w:r>
      <w:r w:rsidR="00E75C22" w:rsidRPr="00761EF8">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2D0EDF" w:rsidRPr="00761EF8" w14:paraId="3587C0D2" w14:textId="77777777" w:rsidTr="00295428">
        <w:tc>
          <w:tcPr>
            <w:tcW w:w="1962" w:type="pct"/>
            <w:shd w:val="clear" w:color="auto" w:fill="auto"/>
            <w:vAlign w:val="center"/>
          </w:tcPr>
          <w:p w14:paraId="713AC91F" w14:textId="77777777"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Cơ cấu tài sản quỹ</w:t>
            </w:r>
          </w:p>
        </w:tc>
        <w:tc>
          <w:tcPr>
            <w:tcW w:w="1053" w:type="pct"/>
            <w:vAlign w:val="center"/>
          </w:tcPr>
          <w:p w14:paraId="28CB8EAF" w14:textId="77777777"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31/12/2024</w:t>
            </w:r>
          </w:p>
          <w:p w14:paraId="2B32DB3E" w14:textId="242DA25F"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w:t>
            </w:r>
          </w:p>
        </w:tc>
        <w:tc>
          <w:tcPr>
            <w:tcW w:w="958" w:type="pct"/>
            <w:vAlign w:val="center"/>
          </w:tcPr>
          <w:p w14:paraId="6DFCF160" w14:textId="77777777"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31/12/2023</w:t>
            </w:r>
          </w:p>
          <w:p w14:paraId="0D098FD6" w14:textId="1BC4E79D"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w:t>
            </w:r>
          </w:p>
        </w:tc>
        <w:tc>
          <w:tcPr>
            <w:tcW w:w="1027" w:type="pct"/>
            <w:shd w:val="clear" w:color="auto" w:fill="auto"/>
            <w:vAlign w:val="center"/>
          </w:tcPr>
          <w:p w14:paraId="5E90D2AC" w14:textId="77777777"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31/12/2022</w:t>
            </w:r>
          </w:p>
          <w:p w14:paraId="4F56B9CF" w14:textId="74EEF902" w:rsidR="002D0EDF" w:rsidRPr="00761EF8" w:rsidRDefault="002D0EDF" w:rsidP="002D0EDF">
            <w:pPr>
              <w:tabs>
                <w:tab w:val="left" w:pos="540"/>
              </w:tabs>
              <w:spacing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w:t>
            </w:r>
          </w:p>
        </w:tc>
      </w:tr>
      <w:tr w:rsidR="00116322" w:rsidRPr="00761EF8" w14:paraId="24D2596E" w14:textId="77777777" w:rsidTr="006B1873">
        <w:tc>
          <w:tcPr>
            <w:tcW w:w="1962" w:type="pct"/>
            <w:shd w:val="clear" w:color="auto" w:fill="auto"/>
            <w:vAlign w:val="center"/>
          </w:tcPr>
          <w:p w14:paraId="33FCFD60" w14:textId="6918A882" w:rsidR="00116322" w:rsidRPr="00761EF8" w:rsidRDefault="00116322" w:rsidP="00116322">
            <w:pPr>
              <w:tabs>
                <w:tab w:val="left" w:pos="-18"/>
              </w:tabs>
              <w:spacing w:before="120" w:after="0" w:line="240" w:lineRule="auto"/>
              <w:jc w:val="both"/>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1.Danh mục chứng khoán cơ cấu</w:t>
            </w:r>
          </w:p>
        </w:tc>
        <w:tc>
          <w:tcPr>
            <w:tcW w:w="1053" w:type="pct"/>
          </w:tcPr>
          <w:p w14:paraId="16826F50" w14:textId="4221026B"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20,28</w:t>
            </w:r>
          </w:p>
        </w:tc>
        <w:tc>
          <w:tcPr>
            <w:tcW w:w="958" w:type="pct"/>
          </w:tcPr>
          <w:p w14:paraId="1CFB5EE3" w14:textId="06D8E0D1"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37,78</w:t>
            </w:r>
          </w:p>
        </w:tc>
        <w:tc>
          <w:tcPr>
            <w:tcW w:w="1027" w:type="pct"/>
            <w:shd w:val="clear" w:color="auto" w:fill="auto"/>
          </w:tcPr>
          <w:p w14:paraId="0B91117D" w14:textId="2379AFD2"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38,56</w:t>
            </w:r>
          </w:p>
        </w:tc>
      </w:tr>
      <w:tr w:rsidR="00116322" w:rsidRPr="00761EF8" w14:paraId="4D0C35D7" w14:textId="77777777" w:rsidTr="006B1873">
        <w:tc>
          <w:tcPr>
            <w:tcW w:w="1962" w:type="pct"/>
            <w:shd w:val="clear" w:color="auto" w:fill="auto"/>
            <w:vAlign w:val="center"/>
          </w:tcPr>
          <w:p w14:paraId="34BD949F" w14:textId="660522C8" w:rsidR="00116322" w:rsidRPr="00761EF8" w:rsidRDefault="00116322" w:rsidP="00116322">
            <w:pPr>
              <w:tabs>
                <w:tab w:val="left" w:pos="-18"/>
              </w:tabs>
              <w:spacing w:before="120" w:after="0" w:line="240" w:lineRule="auto"/>
              <w:jc w:val="both"/>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2.Tiền và tương đương tiền</w:t>
            </w:r>
          </w:p>
        </w:tc>
        <w:tc>
          <w:tcPr>
            <w:tcW w:w="1053" w:type="pct"/>
          </w:tcPr>
          <w:p w14:paraId="6A80C9AB" w14:textId="4D54B458"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11,04</w:t>
            </w:r>
          </w:p>
        </w:tc>
        <w:tc>
          <w:tcPr>
            <w:tcW w:w="958" w:type="pct"/>
          </w:tcPr>
          <w:p w14:paraId="64803C6A" w14:textId="5F1FBB91"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3,10</w:t>
            </w:r>
          </w:p>
        </w:tc>
        <w:tc>
          <w:tcPr>
            <w:tcW w:w="1027" w:type="pct"/>
            <w:shd w:val="clear" w:color="auto" w:fill="auto"/>
          </w:tcPr>
          <w:p w14:paraId="67FB726C" w14:textId="3B56487A"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3,10</w:t>
            </w:r>
          </w:p>
        </w:tc>
      </w:tr>
      <w:tr w:rsidR="00116322" w:rsidRPr="00761EF8" w14:paraId="2B8F060E" w14:textId="77777777" w:rsidTr="006B1873">
        <w:tc>
          <w:tcPr>
            <w:tcW w:w="1962" w:type="pct"/>
            <w:shd w:val="clear" w:color="auto" w:fill="auto"/>
            <w:vAlign w:val="center"/>
          </w:tcPr>
          <w:p w14:paraId="687A447B" w14:textId="56D5388C" w:rsidR="00116322" w:rsidRPr="00761EF8" w:rsidRDefault="00116322" w:rsidP="00116322">
            <w:pPr>
              <w:tabs>
                <w:tab w:val="left" w:pos="223"/>
              </w:tabs>
              <w:spacing w:before="120" w:after="0" w:line="240" w:lineRule="auto"/>
              <w:jc w:val="both"/>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3.Tài sản khác</w:t>
            </w:r>
          </w:p>
        </w:tc>
        <w:tc>
          <w:tcPr>
            <w:tcW w:w="1053" w:type="pct"/>
          </w:tcPr>
          <w:p w14:paraId="5B81740F" w14:textId="1799A9F5"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68,68</w:t>
            </w:r>
          </w:p>
        </w:tc>
        <w:tc>
          <w:tcPr>
            <w:tcW w:w="958" w:type="pct"/>
          </w:tcPr>
          <w:p w14:paraId="169214C7" w14:textId="615EFD2F"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59,12</w:t>
            </w:r>
          </w:p>
        </w:tc>
        <w:tc>
          <w:tcPr>
            <w:tcW w:w="1027" w:type="pct"/>
            <w:shd w:val="clear" w:color="auto" w:fill="auto"/>
          </w:tcPr>
          <w:p w14:paraId="35A2188C" w14:textId="3D855156" w:rsidR="00116322" w:rsidRPr="00761EF8"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761EF8">
              <w:rPr>
                <w:rFonts w:ascii="Times New Roman" w:eastAsia="Times New Roman" w:hAnsi="Times New Roman"/>
                <w:sz w:val="24"/>
                <w:szCs w:val="24"/>
                <w:lang w:val="nl-NL"/>
              </w:rPr>
              <w:t>58,34</w:t>
            </w:r>
          </w:p>
        </w:tc>
      </w:tr>
      <w:tr w:rsidR="005B290A" w:rsidRPr="00761EF8" w14:paraId="72495D15" w14:textId="77777777" w:rsidTr="005B290A">
        <w:tc>
          <w:tcPr>
            <w:tcW w:w="1962" w:type="pct"/>
            <w:shd w:val="clear" w:color="auto" w:fill="auto"/>
            <w:vAlign w:val="center"/>
          </w:tcPr>
          <w:p w14:paraId="28E8061A" w14:textId="77777777" w:rsidR="005B290A" w:rsidRPr="00761EF8"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Cộng</w:t>
            </w:r>
          </w:p>
        </w:tc>
        <w:tc>
          <w:tcPr>
            <w:tcW w:w="1053" w:type="pct"/>
          </w:tcPr>
          <w:p w14:paraId="27FECA1D" w14:textId="48DB2347" w:rsidR="005B290A" w:rsidRPr="00761EF8"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100</w:t>
            </w:r>
            <w:r w:rsidR="00B45DF7" w:rsidRPr="00761EF8">
              <w:rPr>
                <w:rFonts w:ascii="Times New Roman" w:eastAsia="Times New Roman" w:hAnsi="Times New Roman"/>
                <w:b/>
                <w:sz w:val="24"/>
                <w:szCs w:val="24"/>
                <w:lang w:val="nl-NL"/>
              </w:rPr>
              <w:t>,</w:t>
            </w:r>
            <w:r w:rsidRPr="00761EF8">
              <w:rPr>
                <w:rFonts w:ascii="Times New Roman" w:eastAsia="Times New Roman" w:hAnsi="Times New Roman"/>
                <w:b/>
                <w:sz w:val="24"/>
                <w:szCs w:val="24"/>
                <w:lang w:val="nl-NL"/>
              </w:rPr>
              <w:t>00</w:t>
            </w:r>
          </w:p>
        </w:tc>
        <w:tc>
          <w:tcPr>
            <w:tcW w:w="958" w:type="pct"/>
          </w:tcPr>
          <w:p w14:paraId="4599EA35" w14:textId="082F8764" w:rsidR="005B290A" w:rsidRPr="00761EF8"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100</w:t>
            </w:r>
            <w:r w:rsidR="00B45DF7" w:rsidRPr="00761EF8">
              <w:rPr>
                <w:rFonts w:ascii="Times New Roman" w:eastAsia="Times New Roman" w:hAnsi="Times New Roman"/>
                <w:b/>
                <w:sz w:val="24"/>
                <w:szCs w:val="24"/>
                <w:lang w:val="nl-NL"/>
              </w:rPr>
              <w:t>,</w:t>
            </w:r>
            <w:r w:rsidRPr="00761EF8">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761EF8"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761EF8">
              <w:rPr>
                <w:rFonts w:ascii="Times New Roman" w:eastAsia="Times New Roman" w:hAnsi="Times New Roman"/>
                <w:b/>
                <w:sz w:val="24"/>
                <w:szCs w:val="24"/>
                <w:lang w:val="nl-NL"/>
              </w:rPr>
              <w:t>100</w:t>
            </w:r>
            <w:r w:rsidR="00B45DF7" w:rsidRPr="00761EF8">
              <w:rPr>
                <w:rFonts w:ascii="Times New Roman" w:eastAsia="Times New Roman" w:hAnsi="Times New Roman"/>
                <w:b/>
                <w:sz w:val="24"/>
                <w:szCs w:val="24"/>
                <w:lang w:val="nl-NL"/>
              </w:rPr>
              <w:t>,</w:t>
            </w:r>
            <w:r w:rsidRPr="00761EF8">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761EF8">
        <w:rPr>
          <w:rFonts w:ascii="Times New Roman" w:hAnsi="Times New Roman"/>
          <w:b/>
          <w:sz w:val="24"/>
          <w:szCs w:val="24"/>
          <w:lang w:val="nl-NL"/>
        </w:rPr>
        <w:t>2.</w:t>
      </w:r>
      <w:r w:rsidR="00BE6F63" w:rsidRPr="00761EF8">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2D0EDF" w:rsidRPr="001C531F" w14:paraId="21034AD9" w14:textId="2C164211" w:rsidTr="005B290A">
        <w:tc>
          <w:tcPr>
            <w:tcW w:w="1954" w:type="pct"/>
            <w:shd w:val="clear" w:color="auto" w:fill="auto"/>
            <w:vAlign w:val="center"/>
          </w:tcPr>
          <w:p w14:paraId="1D5B1819" w14:textId="3725DEB6" w:rsidR="002D0EDF" w:rsidRPr="001C531F" w:rsidRDefault="002D0EDF" w:rsidP="002D0EDF">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0E5A8A55" w:rsidR="002D0EDF" w:rsidRPr="001C531F"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tc>
        <w:tc>
          <w:tcPr>
            <w:tcW w:w="952" w:type="pct"/>
            <w:shd w:val="clear" w:color="auto" w:fill="auto"/>
            <w:vAlign w:val="center"/>
          </w:tcPr>
          <w:p w14:paraId="4AB83160" w14:textId="4B63D094" w:rsidR="002D0EDF" w:rsidRPr="001C531F"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046" w:type="pct"/>
            <w:vAlign w:val="center"/>
          </w:tcPr>
          <w:p w14:paraId="6CF16389" w14:textId="3AC1F365" w:rsidR="002D0EDF" w:rsidRPr="001C531F"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116322" w:rsidRPr="001C531F" w14:paraId="1582E00A" w14:textId="0384650D" w:rsidTr="00FA620E">
        <w:tc>
          <w:tcPr>
            <w:tcW w:w="1954" w:type="pct"/>
            <w:shd w:val="clear" w:color="auto" w:fill="auto"/>
            <w:vAlign w:val="center"/>
          </w:tcPr>
          <w:p w14:paraId="165B2506" w14:textId="20F97838"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tcPr>
          <w:p w14:paraId="2608880E" w14:textId="75E802AC" w:rsidR="00116322" w:rsidRPr="001C531F" w:rsidRDefault="00116322" w:rsidP="00116322">
            <w:pPr>
              <w:tabs>
                <w:tab w:val="left" w:pos="540"/>
              </w:tabs>
              <w:spacing w:before="120" w:after="120" w:line="240" w:lineRule="auto"/>
              <w:ind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75</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950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396</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455 </w:t>
            </w:r>
          </w:p>
        </w:tc>
        <w:tc>
          <w:tcPr>
            <w:tcW w:w="952" w:type="pct"/>
            <w:shd w:val="clear" w:color="auto" w:fill="auto"/>
          </w:tcPr>
          <w:p w14:paraId="41A827E1" w14:textId="7D2946B6" w:rsidR="00116322" w:rsidRPr="001C531F" w:rsidRDefault="00116322" w:rsidP="00116322">
            <w:pPr>
              <w:tabs>
                <w:tab w:val="left" w:pos="540"/>
              </w:tabs>
              <w:spacing w:before="120" w:after="120" w:line="240" w:lineRule="auto"/>
              <w:ind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68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877</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888   </w:t>
            </w:r>
          </w:p>
        </w:tc>
        <w:tc>
          <w:tcPr>
            <w:tcW w:w="1046" w:type="pct"/>
          </w:tcPr>
          <w:p w14:paraId="092554F4" w14:textId="6371F769" w:rsidR="00116322" w:rsidRPr="00DE004E" w:rsidRDefault="00116322" w:rsidP="00116322">
            <w:pPr>
              <w:tabs>
                <w:tab w:val="left" w:pos="540"/>
              </w:tabs>
              <w:spacing w:before="120" w:after="120" w:line="240" w:lineRule="auto"/>
              <w:ind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434</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389</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971   </w:t>
            </w:r>
          </w:p>
        </w:tc>
      </w:tr>
      <w:tr w:rsidR="00116322" w:rsidRPr="001C531F" w14:paraId="740B9023" w14:textId="7838D513" w:rsidTr="00FA620E">
        <w:tc>
          <w:tcPr>
            <w:tcW w:w="1954" w:type="pct"/>
            <w:shd w:val="clear" w:color="auto" w:fill="auto"/>
            <w:vAlign w:val="center"/>
          </w:tcPr>
          <w:p w14:paraId="58D993A2" w14:textId="6DFC9F9E"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tcPr>
          <w:p w14:paraId="453B2F16" w14:textId="47FEF823"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675</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156</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03   </w:t>
            </w:r>
          </w:p>
        </w:tc>
        <w:tc>
          <w:tcPr>
            <w:tcW w:w="952" w:type="pct"/>
            <w:shd w:val="clear" w:color="auto" w:fill="auto"/>
          </w:tcPr>
          <w:p w14:paraId="2E0189F1" w14:textId="59FCB0E8"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247</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540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38   </w:t>
            </w:r>
          </w:p>
        </w:tc>
        <w:tc>
          <w:tcPr>
            <w:tcW w:w="1046" w:type="pct"/>
          </w:tcPr>
          <w:p w14:paraId="37534233" w14:textId="1A60CDF9" w:rsidR="00116322" w:rsidRPr="00DE004E"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223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320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66   </w:t>
            </w:r>
          </w:p>
        </w:tc>
      </w:tr>
      <w:tr w:rsidR="00116322" w:rsidRPr="001C531F" w14:paraId="0F7D1AC6" w14:textId="101F6197" w:rsidTr="00FA620E">
        <w:tc>
          <w:tcPr>
            <w:tcW w:w="1954" w:type="pct"/>
            <w:shd w:val="clear" w:color="auto" w:fill="auto"/>
            <w:vAlign w:val="center"/>
          </w:tcPr>
          <w:p w14:paraId="7AA58A45" w14:textId="3B608EAD"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tcPr>
          <w:p w14:paraId="71A7EC96" w14:textId="7065B78D"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378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07   </w:t>
            </w:r>
          </w:p>
        </w:tc>
        <w:tc>
          <w:tcPr>
            <w:tcW w:w="952" w:type="pct"/>
            <w:shd w:val="clear" w:color="auto" w:fill="auto"/>
          </w:tcPr>
          <w:p w14:paraId="3BB66723" w14:textId="24367DBF"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024</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66   </w:t>
            </w:r>
          </w:p>
        </w:tc>
        <w:tc>
          <w:tcPr>
            <w:tcW w:w="1046" w:type="pct"/>
          </w:tcPr>
          <w:p w14:paraId="1EEFA723" w14:textId="6E276E8C" w:rsidR="00116322" w:rsidRPr="00DE004E"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193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01   </w:t>
            </w:r>
          </w:p>
        </w:tc>
      </w:tr>
      <w:tr w:rsidR="00116322" w:rsidRPr="001C531F" w14:paraId="395AB2AB" w14:textId="6AEBB5EA" w:rsidTr="00FA620E">
        <w:tc>
          <w:tcPr>
            <w:tcW w:w="1954" w:type="pct"/>
            <w:shd w:val="clear" w:color="auto" w:fill="auto"/>
            <w:vAlign w:val="center"/>
          </w:tcPr>
          <w:p w14:paraId="4D78CBEF" w14:textId="6A7877DD"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tcPr>
          <w:p w14:paraId="0294BAF0" w14:textId="08F9734E"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378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07   </w:t>
            </w:r>
          </w:p>
        </w:tc>
        <w:tc>
          <w:tcPr>
            <w:tcW w:w="952" w:type="pct"/>
            <w:shd w:val="clear" w:color="auto" w:fill="auto"/>
          </w:tcPr>
          <w:p w14:paraId="2E347DE5" w14:textId="7FBD21D8"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108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17   </w:t>
            </w:r>
          </w:p>
        </w:tc>
        <w:tc>
          <w:tcPr>
            <w:tcW w:w="1046" w:type="pct"/>
          </w:tcPr>
          <w:p w14:paraId="6FAEC7CB" w14:textId="7A269A5B" w:rsidR="00116322" w:rsidRPr="00DE004E"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354</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10   </w:t>
            </w:r>
          </w:p>
        </w:tc>
      </w:tr>
      <w:tr w:rsidR="00116322" w:rsidRPr="001C531F" w14:paraId="3A3FE5B3" w14:textId="1F33A545" w:rsidTr="00FA620E">
        <w:tc>
          <w:tcPr>
            <w:tcW w:w="1954" w:type="pct"/>
            <w:shd w:val="clear" w:color="auto" w:fill="auto"/>
            <w:vAlign w:val="center"/>
          </w:tcPr>
          <w:p w14:paraId="67851E1D" w14:textId="52AA6C49"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48" w:type="pct"/>
          </w:tcPr>
          <w:p w14:paraId="4C67D71E" w14:textId="31D3A6EA"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269</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52   </w:t>
            </w:r>
          </w:p>
        </w:tc>
        <w:tc>
          <w:tcPr>
            <w:tcW w:w="952" w:type="pct"/>
            <w:shd w:val="clear" w:color="auto" w:fill="auto"/>
          </w:tcPr>
          <w:p w14:paraId="78E13020" w14:textId="3DB4B1AA"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968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54   </w:t>
            </w:r>
          </w:p>
        </w:tc>
        <w:tc>
          <w:tcPr>
            <w:tcW w:w="1046" w:type="pct"/>
          </w:tcPr>
          <w:p w14:paraId="1B57F88C" w14:textId="1C25FEC9" w:rsidR="00116322" w:rsidRPr="00DE004E"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107</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29   </w:t>
            </w:r>
          </w:p>
        </w:tc>
      </w:tr>
      <w:tr w:rsidR="005B290A" w:rsidRPr="001C531F" w14:paraId="680FA9D8" w14:textId="18E6DA58" w:rsidTr="00F0469F">
        <w:tc>
          <w:tcPr>
            <w:tcW w:w="1954" w:type="pct"/>
            <w:shd w:val="clear" w:color="auto" w:fill="auto"/>
            <w:vAlign w:val="center"/>
          </w:tcPr>
          <w:p w14:paraId="405BCECE" w14:textId="458695A7"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D199951" w14:textId="46B4702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6B532062" w14:textId="14FD070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2492316D" w14:textId="6F0E3534" w:rsidTr="00F0469F">
        <w:tc>
          <w:tcPr>
            <w:tcW w:w="1954" w:type="pct"/>
            <w:shd w:val="clear" w:color="auto" w:fill="auto"/>
            <w:vAlign w:val="center"/>
          </w:tcPr>
          <w:p w14:paraId="3BF3BB34" w14:textId="21F61CD2"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0619DC6" w14:textId="70C51A8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0F1BF16C" w14:textId="4A0466D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51B49DCF" w14:textId="3E097482" w:rsidTr="00F0469F">
        <w:tc>
          <w:tcPr>
            <w:tcW w:w="1954" w:type="pct"/>
            <w:shd w:val="clear" w:color="auto" w:fill="auto"/>
            <w:vAlign w:val="center"/>
          </w:tcPr>
          <w:p w14:paraId="177EE2D0" w14:textId="5AFD6F55"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79D01296" w14:textId="442F754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0BC76284" w14:textId="25EA669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116322" w:rsidRPr="001C531F" w14:paraId="3D43ACEE" w14:textId="7B1B19C5" w:rsidTr="0023605E">
        <w:tc>
          <w:tcPr>
            <w:tcW w:w="1954" w:type="pct"/>
            <w:shd w:val="clear" w:color="auto" w:fill="auto"/>
            <w:vAlign w:val="center"/>
          </w:tcPr>
          <w:p w14:paraId="1916F095" w14:textId="5D69F5E0"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48" w:type="pct"/>
          </w:tcPr>
          <w:p w14:paraId="670492AC" w14:textId="535E0939"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02</w:t>
            </w:r>
          </w:p>
        </w:tc>
        <w:tc>
          <w:tcPr>
            <w:tcW w:w="952" w:type="pct"/>
            <w:shd w:val="clear" w:color="auto" w:fill="auto"/>
          </w:tcPr>
          <w:p w14:paraId="20184A90" w14:textId="363C3CEA"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02</w:t>
            </w:r>
          </w:p>
        </w:tc>
        <w:tc>
          <w:tcPr>
            <w:tcW w:w="1046" w:type="pct"/>
          </w:tcPr>
          <w:p w14:paraId="59B8A721" w14:textId="66B2597D" w:rsidR="00116322" w:rsidRPr="00DE004E"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61</w:t>
            </w:r>
          </w:p>
        </w:tc>
      </w:tr>
      <w:tr w:rsidR="005B290A" w:rsidRPr="001C531F" w14:paraId="39E29FC2" w14:textId="1BF093E7" w:rsidTr="00F0469F">
        <w:tc>
          <w:tcPr>
            <w:tcW w:w="1954" w:type="pct"/>
            <w:shd w:val="clear" w:color="auto" w:fill="auto"/>
            <w:vAlign w:val="center"/>
          </w:tcPr>
          <w:p w14:paraId="684DE998" w14:textId="5013AEE3"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00762D5" w14:textId="59A6A121"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7766C282" w14:textId="2C6EFEA2"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5D4A2E39" w14:textId="3C40DAE8" w:rsidTr="00F0469F">
        <w:tc>
          <w:tcPr>
            <w:tcW w:w="1954" w:type="pct"/>
            <w:shd w:val="clear" w:color="auto" w:fill="auto"/>
            <w:vAlign w:val="center"/>
          </w:tcPr>
          <w:p w14:paraId="461797A3" w14:textId="3D25708C"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22130F8" w14:textId="7B45F6B5"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1F1ABC7E" w14:textId="392B5AC7"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4CC4F0AA" w14:textId="5FBDE8D1" w:rsidTr="005B290A">
        <w:tc>
          <w:tcPr>
            <w:tcW w:w="1954" w:type="pct"/>
            <w:shd w:val="clear" w:color="auto" w:fill="auto"/>
            <w:vAlign w:val="center"/>
          </w:tcPr>
          <w:p w14:paraId="01DC28A3" w14:textId="77CA96C4"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760FA637" w14:textId="40773D5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139978DD" w14:textId="61AF6C78"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6EAB03D4" w14:textId="01BE6F16" w:rsidTr="005B290A">
        <w:tc>
          <w:tcPr>
            <w:tcW w:w="1954" w:type="pct"/>
            <w:shd w:val="clear" w:color="auto" w:fill="auto"/>
            <w:vAlign w:val="center"/>
          </w:tcPr>
          <w:p w14:paraId="3A517776" w14:textId="23B0AE70"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6260AB34" w14:textId="600527B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01B84655" w14:textId="21E12F2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484A1706" w14:textId="156EEC39" w:rsidTr="005B290A">
        <w:tc>
          <w:tcPr>
            <w:tcW w:w="1954" w:type="pct"/>
            <w:shd w:val="clear" w:color="auto" w:fill="auto"/>
            <w:vAlign w:val="center"/>
          </w:tcPr>
          <w:p w14:paraId="31BECECF" w14:textId="49DA9A46"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0010992B" w14:textId="5A2FA356"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5B68F9CD" w14:textId="56DBCDA7"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116322" w:rsidRPr="001C531F" w14:paraId="59EE0EC7" w14:textId="65442167" w:rsidTr="00851D53">
        <w:tc>
          <w:tcPr>
            <w:tcW w:w="1954" w:type="pct"/>
            <w:shd w:val="clear" w:color="auto" w:fill="auto"/>
            <w:vAlign w:val="center"/>
          </w:tcPr>
          <w:p w14:paraId="5D620D01" w14:textId="2511E8E0"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48" w:type="pct"/>
          </w:tcPr>
          <w:p w14:paraId="6AACCE72" w14:textId="0D187720"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66</w:t>
            </w:r>
          </w:p>
        </w:tc>
        <w:tc>
          <w:tcPr>
            <w:tcW w:w="952" w:type="pct"/>
            <w:shd w:val="clear" w:color="auto" w:fill="auto"/>
          </w:tcPr>
          <w:p w14:paraId="1599D8AD" w14:textId="2D9223DF" w:rsidR="00116322" w:rsidRPr="001C531F"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15</w:t>
            </w:r>
          </w:p>
        </w:tc>
        <w:tc>
          <w:tcPr>
            <w:tcW w:w="1046" w:type="pct"/>
          </w:tcPr>
          <w:p w14:paraId="01C264AF" w14:textId="21F92840" w:rsidR="00116322" w:rsidRPr="00DE004E" w:rsidRDefault="00116322" w:rsidP="00116322">
            <w:pPr>
              <w:tabs>
                <w:tab w:val="left" w:pos="540"/>
              </w:tabs>
              <w:spacing w:before="120" w:after="120" w:line="240" w:lineRule="auto"/>
              <w:ind w:left="57"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24</w:t>
            </w:r>
          </w:p>
        </w:tc>
      </w:tr>
      <w:tr w:rsidR="00116322" w:rsidRPr="001C531F" w14:paraId="5F792137" w14:textId="199D2F25" w:rsidTr="00851D53">
        <w:tc>
          <w:tcPr>
            <w:tcW w:w="1954" w:type="pct"/>
            <w:shd w:val="clear" w:color="auto" w:fill="auto"/>
            <w:vAlign w:val="center"/>
          </w:tcPr>
          <w:p w14:paraId="1CB9C522" w14:textId="456C8EBB" w:rsidR="00116322" w:rsidRPr="001C531F"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48" w:type="pct"/>
          </w:tcPr>
          <w:p w14:paraId="72479156" w14:textId="38493C89" w:rsidR="00116322" w:rsidRPr="001C531F" w:rsidRDefault="00116322" w:rsidP="00116322">
            <w:pPr>
              <w:tabs>
                <w:tab w:val="left" w:pos="540"/>
              </w:tabs>
              <w:spacing w:before="120" w:after="120" w:line="240" w:lineRule="auto"/>
              <w:ind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26</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15</w:t>
            </w:r>
          </w:p>
        </w:tc>
        <w:tc>
          <w:tcPr>
            <w:tcW w:w="952" w:type="pct"/>
            <w:shd w:val="clear" w:color="auto" w:fill="auto"/>
          </w:tcPr>
          <w:p w14:paraId="1DCC5EDA" w14:textId="71D28734" w:rsidR="00116322" w:rsidRPr="001C531F" w:rsidRDefault="00116322" w:rsidP="00116322">
            <w:pPr>
              <w:tabs>
                <w:tab w:val="left" w:pos="540"/>
              </w:tabs>
              <w:spacing w:before="120" w:after="120" w:line="240" w:lineRule="auto"/>
              <w:ind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00</w:t>
            </w:r>
          </w:p>
        </w:tc>
        <w:tc>
          <w:tcPr>
            <w:tcW w:w="1046" w:type="pct"/>
          </w:tcPr>
          <w:p w14:paraId="3E26604E" w14:textId="0A27C5F5" w:rsidR="00116322" w:rsidRPr="00DE004E" w:rsidRDefault="00116322" w:rsidP="00116322">
            <w:pPr>
              <w:tabs>
                <w:tab w:val="left" w:pos="540"/>
              </w:tabs>
              <w:spacing w:before="120" w:after="120" w:line="240" w:lineRule="auto"/>
              <w:ind w:right="57"/>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00</w:t>
            </w:r>
          </w:p>
        </w:tc>
      </w:tr>
    </w:tbl>
    <w:p w14:paraId="169AA3BF" w14:textId="67C29C64"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95858">
        <w:rPr>
          <w:rFonts w:ascii="Times New Roman" w:hAnsi="Times New Roman"/>
          <w:b/>
          <w:sz w:val="24"/>
          <w:szCs w:val="24"/>
          <w:lang w:val="nl-NL"/>
        </w:rPr>
        <w:t>2.</w:t>
      </w:r>
      <w:r w:rsidR="00BE6F63" w:rsidRPr="00E95858">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71CB5" w:rsidRPr="001330FC" w14:paraId="74D1D247" w14:textId="77777777" w:rsidTr="00C119BD">
        <w:tc>
          <w:tcPr>
            <w:tcW w:w="2115" w:type="pct"/>
            <w:shd w:val="clear" w:color="auto" w:fill="auto"/>
            <w:vAlign w:val="center"/>
          </w:tcPr>
          <w:p w14:paraId="25AAF69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AC1B50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 (%)</w:t>
            </w:r>
          </w:p>
        </w:tc>
        <w:tc>
          <w:tcPr>
            <w:tcW w:w="1441" w:type="pct"/>
            <w:shd w:val="clear" w:color="auto" w:fill="auto"/>
            <w:vAlign w:val="center"/>
          </w:tcPr>
          <w:p w14:paraId="64498DCD"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 (%)</w:t>
            </w:r>
          </w:p>
        </w:tc>
      </w:tr>
      <w:tr w:rsidR="00116322" w:rsidRPr="003E0EF5" w14:paraId="511D2238" w14:textId="77777777" w:rsidTr="00C119BD">
        <w:tc>
          <w:tcPr>
            <w:tcW w:w="2115" w:type="pct"/>
            <w:shd w:val="clear" w:color="auto" w:fill="auto"/>
            <w:vAlign w:val="center"/>
          </w:tcPr>
          <w:p w14:paraId="307CE1B5" w14:textId="77777777" w:rsidR="00116322" w:rsidRPr="001330FC" w:rsidRDefault="00116322" w:rsidP="00116322">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41EBB698" w14:textId="3E74894F" w:rsidR="00116322" w:rsidRPr="003E0EF5"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21</w:t>
            </w:r>
          </w:p>
        </w:tc>
        <w:tc>
          <w:tcPr>
            <w:tcW w:w="1441" w:type="pct"/>
            <w:shd w:val="clear" w:color="auto" w:fill="auto"/>
          </w:tcPr>
          <w:p w14:paraId="0AC8B6E5" w14:textId="65EC8BAB" w:rsidR="00116322" w:rsidRPr="003E0EF5"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21</w:t>
            </w:r>
          </w:p>
        </w:tc>
      </w:tr>
      <w:tr w:rsidR="00116322" w:rsidRPr="003E0EF5" w14:paraId="1D2B5D17" w14:textId="77777777" w:rsidTr="00C119BD">
        <w:tc>
          <w:tcPr>
            <w:tcW w:w="2115" w:type="pct"/>
            <w:shd w:val="clear" w:color="auto" w:fill="auto"/>
            <w:vAlign w:val="center"/>
          </w:tcPr>
          <w:p w14:paraId="65B68C91" w14:textId="77777777" w:rsidR="00116322" w:rsidRPr="001330FC" w:rsidRDefault="00116322" w:rsidP="00116322">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273B88CB" w14:textId="0C8B0644" w:rsidR="00116322" w:rsidRPr="003E0EF5"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56</w:t>
            </w:r>
          </w:p>
        </w:tc>
        <w:tc>
          <w:tcPr>
            <w:tcW w:w="1441" w:type="pct"/>
            <w:shd w:val="clear" w:color="auto" w:fill="auto"/>
          </w:tcPr>
          <w:p w14:paraId="31FB9FB9" w14:textId="50CC299F" w:rsidR="00116322" w:rsidRPr="003E0EF5"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02</w:t>
            </w:r>
          </w:p>
        </w:tc>
      </w:tr>
      <w:tr w:rsidR="00116322" w:rsidRPr="003E0EF5" w14:paraId="36E3772E" w14:textId="77777777" w:rsidTr="00C119BD">
        <w:tc>
          <w:tcPr>
            <w:tcW w:w="2115" w:type="pct"/>
            <w:shd w:val="clear" w:color="auto" w:fill="auto"/>
            <w:vAlign w:val="center"/>
          </w:tcPr>
          <w:p w14:paraId="239F0FE0" w14:textId="77777777" w:rsidR="00116322" w:rsidRPr="001330FC" w:rsidRDefault="00116322" w:rsidP="00116322">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2830DA05" w14:textId="2B2EAA30" w:rsidR="00116322" w:rsidRPr="003E0EF5"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78</w:t>
            </w:r>
          </w:p>
        </w:tc>
        <w:tc>
          <w:tcPr>
            <w:tcW w:w="1441" w:type="pct"/>
            <w:shd w:val="clear" w:color="auto" w:fill="auto"/>
          </w:tcPr>
          <w:p w14:paraId="7528BCE4" w14:textId="19249120" w:rsidR="00116322" w:rsidRPr="003E0EF5"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36</w:t>
            </w:r>
          </w:p>
        </w:tc>
      </w:tr>
    </w:tbl>
    <w:p w14:paraId="2FB699CF" w14:textId="242AE0E6"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95858">
        <w:rPr>
          <w:rFonts w:ascii="Times New Roman" w:hAnsi="Times New Roman"/>
          <w:b/>
          <w:sz w:val="24"/>
          <w:szCs w:val="24"/>
          <w:lang w:val="nl-NL"/>
        </w:rPr>
        <w:t>2.</w:t>
      </w:r>
      <w:r w:rsidR="00BE6F63" w:rsidRPr="00E95858">
        <w:rPr>
          <w:rFonts w:ascii="Times New Roman" w:hAnsi="Times New Roman"/>
          <w:b/>
          <w:sz w:val="24"/>
          <w:szCs w:val="24"/>
          <w:lang w:val="nl-NL"/>
        </w:rPr>
        <w:t>4.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2D0EDF" w:rsidRPr="001330FC" w14:paraId="700857D9" w14:textId="77777777" w:rsidTr="00C119BD">
        <w:trPr>
          <w:trHeight w:val="774"/>
        </w:trPr>
        <w:tc>
          <w:tcPr>
            <w:tcW w:w="2114" w:type="pct"/>
            <w:shd w:val="clear" w:color="auto" w:fill="auto"/>
          </w:tcPr>
          <w:p w14:paraId="7E58D416" w14:textId="77777777" w:rsidR="002D0EDF" w:rsidRPr="001330FC" w:rsidRDefault="002D0EDF" w:rsidP="002D0EDF">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7DFD8A43" w14:textId="77777777" w:rsidR="002D0EDF" w:rsidRPr="004647B9"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517BA976" w14:textId="02AE1B76" w:rsidR="002D0EDF" w:rsidRPr="001330FC"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4379B5D0" w14:textId="77777777" w:rsidR="002D0EDF" w:rsidRPr="004647B9"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C9F0FA7" w14:textId="2F40C50E" w:rsidR="002D0EDF" w:rsidRPr="001330FC"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0B0FECB7" w14:textId="77777777" w:rsidR="002D0EDF" w:rsidRPr="004647B9"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736B221B" w14:textId="7CF8EFF5" w:rsidR="002D0EDF" w:rsidRPr="001330FC" w:rsidRDefault="002D0EDF" w:rsidP="002D0EDF">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116322" w:rsidRPr="003E0EF5" w14:paraId="76253367" w14:textId="77777777" w:rsidTr="00C119BD">
        <w:tc>
          <w:tcPr>
            <w:tcW w:w="2114" w:type="pct"/>
            <w:shd w:val="clear" w:color="auto" w:fill="auto"/>
          </w:tcPr>
          <w:p w14:paraId="0B1F0B5C" w14:textId="77777777" w:rsidR="00116322" w:rsidRPr="001330FC"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41036EB6" w14:textId="144C3BB9" w:rsidR="00116322" w:rsidRPr="003E0EF5" w:rsidRDefault="00116322" w:rsidP="00116322">
            <w:pPr>
              <w:tabs>
                <w:tab w:val="left" w:pos="540"/>
              </w:tabs>
              <w:spacing w:before="12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21</w:t>
            </w:r>
          </w:p>
        </w:tc>
        <w:tc>
          <w:tcPr>
            <w:tcW w:w="1009" w:type="pct"/>
            <w:shd w:val="clear" w:color="auto" w:fill="auto"/>
          </w:tcPr>
          <w:p w14:paraId="3BBB0EFD" w14:textId="355BB957" w:rsidR="00116322" w:rsidRPr="003E0EF5" w:rsidRDefault="00116322" w:rsidP="00116322">
            <w:pPr>
              <w:tabs>
                <w:tab w:val="left" w:pos="540"/>
              </w:tabs>
              <w:spacing w:before="12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16</w:t>
            </w:r>
          </w:p>
        </w:tc>
        <w:tc>
          <w:tcPr>
            <w:tcW w:w="914" w:type="pct"/>
            <w:shd w:val="clear" w:color="auto" w:fill="auto"/>
          </w:tcPr>
          <w:p w14:paraId="123AD5B5" w14:textId="702C6F6F" w:rsidR="00116322" w:rsidRPr="003E0EF5" w:rsidRDefault="00116322" w:rsidP="00116322">
            <w:pPr>
              <w:tabs>
                <w:tab w:val="left" w:pos="540"/>
              </w:tabs>
              <w:spacing w:before="12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84</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61EF8">
        <w:rPr>
          <w:rFonts w:ascii="Times New Roman" w:hAnsi="Times New Roman"/>
          <w:b/>
          <w:sz w:val="24"/>
          <w:szCs w:val="24"/>
          <w:lang w:val="nl-NL"/>
        </w:rPr>
        <w:t>3</w:t>
      </w:r>
      <w:r w:rsidR="00BE6F63" w:rsidRPr="00761EF8">
        <w:rPr>
          <w:rFonts w:ascii="Times New Roman" w:hAnsi="Times New Roman"/>
          <w:b/>
          <w:sz w:val="24"/>
          <w:szCs w:val="24"/>
          <w:lang w:val="nl-NL"/>
        </w:rPr>
        <w:t>. Mô tả thị trường trong kỳ:</w:t>
      </w:r>
    </w:p>
    <w:p w14:paraId="09F288A1" w14:textId="77777777" w:rsidR="00122962" w:rsidRPr="00D026C8" w:rsidRDefault="00122962" w:rsidP="00122962">
      <w:pPr>
        <w:shd w:val="clear" w:color="auto" w:fill="FFFFFF"/>
        <w:tabs>
          <w:tab w:val="left" w:pos="540"/>
        </w:tabs>
        <w:spacing w:before="120" w:after="0" w:line="240" w:lineRule="auto"/>
        <w:jc w:val="both"/>
        <w:rPr>
          <w:rFonts w:ascii="Times New Roman" w:hAnsi="Times New Roman"/>
          <w:sz w:val="24"/>
          <w:szCs w:val="24"/>
        </w:rPr>
      </w:pPr>
      <w:bookmarkStart w:id="1" w:name="_Hlk139559402"/>
      <w:bookmarkStart w:id="2" w:name="_Hlk139533534"/>
      <w:r w:rsidRPr="00D026C8">
        <w:rPr>
          <w:rFonts w:ascii="Times New Roman" w:hAnsi="Times New Roman"/>
          <w:sz w:val="24"/>
          <w:szCs w:val="24"/>
        </w:rPr>
        <w:t xml:space="preserve">Kinh </w:t>
      </w:r>
      <w:proofErr w:type="spellStart"/>
      <w:r w:rsidRPr="00D026C8">
        <w:rPr>
          <w:rFonts w:ascii="Times New Roman" w:hAnsi="Times New Roman"/>
          <w:sz w:val="24"/>
          <w:szCs w:val="24"/>
        </w:rPr>
        <w:t>tế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quý</w:t>
      </w:r>
      <w:proofErr w:type="spellEnd"/>
      <w:r w:rsidRPr="00D026C8">
        <w:rPr>
          <w:rFonts w:ascii="Times New Roman" w:hAnsi="Times New Roman"/>
          <w:sz w:val="24"/>
          <w:szCs w:val="24"/>
        </w:rPr>
        <w:t xml:space="preserve"> 4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2024 </w:t>
      </w:r>
      <w:proofErr w:type="spellStart"/>
      <w:r w:rsidRPr="00D026C8">
        <w:rPr>
          <w:rFonts w:ascii="Times New Roman" w:hAnsi="Times New Roman"/>
          <w:sz w:val="24"/>
          <w:szCs w:val="24"/>
        </w:rPr>
        <w:t>diễn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ra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bối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cảnh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tiếp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tục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duy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trì</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bất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ổn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kéo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dài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từ</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2023. </w:t>
      </w:r>
      <w:proofErr w:type="spellStart"/>
      <w:r w:rsidRPr="00D026C8">
        <w:rPr>
          <w:rFonts w:ascii="Times New Roman" w:hAnsi="Times New Roman"/>
          <w:sz w:val="24"/>
          <w:szCs w:val="24"/>
        </w:rPr>
        <w:t>Xung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đột</w:t>
      </w:r>
      <w:proofErr w:type="spellEnd"/>
      <w:r w:rsidRPr="00D026C8">
        <w:rPr>
          <w:rFonts w:ascii="Times New Roman" w:hAnsi="Times New Roman"/>
          <w:sz w:val="24"/>
          <w:szCs w:val="24"/>
        </w:rPr>
        <w:t xml:space="preserve"> Nga - Ukraine </w:t>
      </w:r>
      <w:proofErr w:type="spellStart"/>
      <w:r w:rsidRPr="00D026C8">
        <w:rPr>
          <w:rFonts w:ascii="Times New Roman" w:hAnsi="Times New Roman"/>
          <w:sz w:val="24"/>
          <w:szCs w:val="24"/>
        </w:rPr>
        <w:t>chưa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kết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thúc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thẳng</w:t>
      </w:r>
      <w:proofErr w:type="spellEnd"/>
      <w:r w:rsidRPr="00D026C8">
        <w:rPr>
          <w:rFonts w:ascii="Times New Roman" w:hAnsi="Times New Roman"/>
          <w:sz w:val="24"/>
          <w:szCs w:val="24"/>
        </w:rPr>
        <w:t xml:space="preserve"> Trung Đông </w:t>
      </w:r>
      <w:proofErr w:type="spellStart"/>
      <w:r w:rsidRPr="00D026C8">
        <w:rPr>
          <w:rFonts w:ascii="Times New Roman" w:hAnsi="Times New Roman"/>
          <w:sz w:val="24"/>
          <w:szCs w:val="24"/>
        </w:rPr>
        <w:t>tiếp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diễn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diễn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biến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ngày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càng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phức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tạp</w:t>
      </w:r>
      <w:proofErr w:type="spellEnd"/>
      <w:r w:rsidRPr="00D026C8">
        <w:rPr>
          <w:rFonts w:ascii="Times New Roman" w:hAnsi="Times New Roman"/>
          <w:sz w:val="24"/>
          <w:szCs w:val="24"/>
        </w:rPr>
        <w:t xml:space="preserve">. Trong </w:t>
      </w:r>
      <w:proofErr w:type="spellStart"/>
      <w:r w:rsidRPr="00D026C8">
        <w:rPr>
          <w:rFonts w:ascii="Times New Roman" w:hAnsi="Times New Roman"/>
          <w:sz w:val="24"/>
          <w:szCs w:val="24"/>
        </w:rPr>
        <w:t>khi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mặc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dù</w:t>
      </w:r>
      <w:proofErr w:type="spellEnd"/>
      <w:r w:rsidRPr="00D026C8">
        <w:rPr>
          <w:rFonts w:ascii="Times New Roman" w:hAnsi="Times New Roman"/>
          <w:sz w:val="24"/>
          <w:szCs w:val="24"/>
        </w:rPr>
        <w:t xml:space="preserve"> FED </w:t>
      </w:r>
      <w:proofErr w:type="spellStart"/>
      <w:r w:rsidRPr="00D026C8">
        <w:rPr>
          <w:rFonts w:ascii="Times New Roman" w:hAnsi="Times New Roman"/>
          <w:sz w:val="24"/>
          <w:szCs w:val="24"/>
        </w:rPr>
        <w:t>thực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hiện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lộ</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trình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cắt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lãi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suất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2024 </w:t>
      </w:r>
      <w:proofErr w:type="spellStart"/>
      <w:r w:rsidRPr="00D026C8">
        <w:rPr>
          <w:rFonts w:ascii="Times New Roman" w:hAnsi="Times New Roman"/>
          <w:sz w:val="24"/>
          <w:szCs w:val="24"/>
        </w:rPr>
        <w:t>như</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hoạch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nhưng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những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tín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hiệu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thấy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mức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độ</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cắt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lãi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suất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sẽ</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chậm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lại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2025. Trong </w:t>
      </w:r>
      <w:proofErr w:type="spellStart"/>
      <w:r w:rsidRPr="00D026C8">
        <w:rPr>
          <w:rFonts w:ascii="Times New Roman" w:hAnsi="Times New Roman"/>
          <w:sz w:val="24"/>
          <w:szCs w:val="24"/>
        </w:rPr>
        <w:t>khi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nền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tế</w:t>
      </w:r>
      <w:proofErr w:type="spellEnd"/>
      <w:r w:rsidRPr="00D026C8">
        <w:rPr>
          <w:rFonts w:ascii="Times New Roman" w:hAnsi="Times New Roman"/>
          <w:sz w:val="24"/>
          <w:szCs w:val="24"/>
        </w:rPr>
        <w:t xml:space="preserve"> Trung Quốc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trưởng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chậm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buộc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Phủ</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này</w:t>
      </w:r>
      <w:proofErr w:type="spellEnd"/>
      <w:r w:rsidRPr="00D026C8">
        <w:rPr>
          <w:rFonts w:ascii="Times New Roman" w:hAnsi="Times New Roman"/>
          <w:sz w:val="24"/>
          <w:szCs w:val="24"/>
        </w:rPr>
        <w:t xml:space="preserve"> ban </w:t>
      </w:r>
      <w:proofErr w:type="spellStart"/>
      <w:r w:rsidRPr="00D026C8">
        <w:rPr>
          <w:rFonts w:ascii="Times New Roman" w:hAnsi="Times New Roman"/>
          <w:sz w:val="24"/>
          <w:szCs w:val="24"/>
        </w:rPr>
        <w:t>hành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kích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thích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trưởng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mạnh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mẽ</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Bên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cạnh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việc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đánh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động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điều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hành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từ</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2025 </w:t>
      </w:r>
      <w:proofErr w:type="spellStart"/>
      <w:r w:rsidRPr="00D026C8">
        <w:rPr>
          <w:rFonts w:ascii="Times New Roman" w:hAnsi="Times New Roman"/>
          <w:sz w:val="24"/>
          <w:szCs w:val="24"/>
        </w:rPr>
        <w:t>của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Tổng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thống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đắc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cử</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của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Mỹ</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cũng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mối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quan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tâm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lớn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của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thị</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trường</w:t>
      </w:r>
      <w:proofErr w:type="spellEnd"/>
      <w:r w:rsidRPr="00D026C8">
        <w:rPr>
          <w:rFonts w:ascii="Times New Roman" w:hAnsi="Times New Roman"/>
          <w:sz w:val="24"/>
          <w:szCs w:val="24"/>
        </w:rPr>
        <w:t>.</w:t>
      </w:r>
    </w:p>
    <w:p w14:paraId="387036DF" w14:textId="77777777" w:rsidR="00122962" w:rsidRPr="00D026C8" w:rsidRDefault="00122962" w:rsidP="00122962">
      <w:pPr>
        <w:shd w:val="clear" w:color="auto" w:fill="FFFFFF"/>
        <w:tabs>
          <w:tab w:val="left" w:pos="540"/>
        </w:tabs>
        <w:spacing w:before="120" w:after="0" w:line="240" w:lineRule="auto"/>
        <w:jc w:val="both"/>
        <w:rPr>
          <w:rFonts w:ascii="Times New Roman" w:hAnsi="Times New Roman"/>
          <w:sz w:val="24"/>
          <w:szCs w:val="24"/>
        </w:rPr>
      </w:pPr>
      <w:r w:rsidRPr="00D026C8">
        <w:rPr>
          <w:rFonts w:ascii="Times New Roman" w:hAnsi="Times New Roman"/>
          <w:sz w:val="24"/>
          <w:szCs w:val="24"/>
        </w:rPr>
        <w:t xml:space="preserve">Trong </w:t>
      </w:r>
      <w:proofErr w:type="spellStart"/>
      <w:r w:rsidRPr="00D026C8">
        <w:rPr>
          <w:rFonts w:ascii="Times New Roman" w:hAnsi="Times New Roman"/>
          <w:sz w:val="24"/>
          <w:szCs w:val="24"/>
        </w:rPr>
        <w:t>nước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phủ</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đã</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đẩy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mạnh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nhiều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biện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pháp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kích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thích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như</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thuế</w:t>
      </w:r>
      <w:proofErr w:type="spellEnd"/>
      <w:r w:rsidRPr="00D026C8">
        <w:rPr>
          <w:rFonts w:ascii="Times New Roman" w:hAnsi="Times New Roman"/>
          <w:sz w:val="24"/>
          <w:szCs w:val="24"/>
        </w:rPr>
        <w:t xml:space="preserve"> VAT, </w:t>
      </w:r>
      <w:proofErr w:type="spellStart"/>
      <w:r w:rsidRPr="00D026C8">
        <w:rPr>
          <w:rFonts w:ascii="Times New Roman" w:hAnsi="Times New Roman"/>
          <w:sz w:val="24"/>
          <w:szCs w:val="24"/>
        </w:rPr>
        <w:t>thúc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đẩy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trưởng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tín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dụng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ổn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định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tỷ</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đẩy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mạnh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giải</w:t>
      </w:r>
      <w:proofErr w:type="spellEnd"/>
      <w:r w:rsidRPr="00D026C8">
        <w:rPr>
          <w:rFonts w:ascii="Times New Roman" w:hAnsi="Times New Roman"/>
          <w:sz w:val="24"/>
          <w:szCs w:val="24"/>
        </w:rPr>
        <w:t xml:space="preserve"> ngân </w:t>
      </w:r>
      <w:proofErr w:type="spellStart"/>
      <w:r w:rsidRPr="00D026C8">
        <w:rPr>
          <w:rFonts w:ascii="Times New Roman" w:hAnsi="Times New Roman"/>
          <w:sz w:val="24"/>
          <w:szCs w:val="24"/>
        </w:rPr>
        <w:t>vốn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đầu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tư</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công</w:t>
      </w:r>
      <w:proofErr w:type="spellEnd"/>
      <w:r w:rsidRPr="00D026C8">
        <w:rPr>
          <w:rFonts w:ascii="Times New Roman" w:hAnsi="Times New Roman"/>
          <w:sz w:val="24"/>
          <w:szCs w:val="24"/>
        </w:rPr>
        <w:t xml:space="preserve">. Tuy </w:t>
      </w:r>
      <w:proofErr w:type="spellStart"/>
      <w:r w:rsidRPr="00D026C8">
        <w:rPr>
          <w:rFonts w:ascii="Times New Roman" w:hAnsi="Times New Roman"/>
          <w:sz w:val="24"/>
          <w:szCs w:val="24"/>
        </w:rPr>
        <w:t>nhiên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hoạch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giải</w:t>
      </w:r>
      <w:proofErr w:type="spellEnd"/>
      <w:r w:rsidRPr="00D026C8">
        <w:rPr>
          <w:rFonts w:ascii="Times New Roman" w:hAnsi="Times New Roman"/>
          <w:sz w:val="24"/>
          <w:szCs w:val="24"/>
        </w:rPr>
        <w:t xml:space="preserve"> ngân </w:t>
      </w:r>
      <w:proofErr w:type="spellStart"/>
      <w:r w:rsidRPr="00D026C8">
        <w:rPr>
          <w:rFonts w:ascii="Times New Roman" w:hAnsi="Times New Roman"/>
          <w:sz w:val="24"/>
          <w:szCs w:val="24"/>
        </w:rPr>
        <w:t>đầu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tư</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công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vẫn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còn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thấp</w:t>
      </w:r>
      <w:proofErr w:type="spellEnd"/>
      <w:r w:rsidRPr="00D026C8">
        <w:rPr>
          <w:rFonts w:ascii="Times New Roman" w:hAnsi="Times New Roman"/>
          <w:sz w:val="24"/>
          <w:szCs w:val="24"/>
        </w:rPr>
        <w:t xml:space="preserve">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hoạch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thị</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trường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bất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động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sản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vẫn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khăn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tiêu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dùng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nội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địa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phục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hồi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chậm</w:t>
      </w:r>
      <w:proofErr w:type="spellEnd"/>
      <w:r w:rsidRPr="00D026C8">
        <w:rPr>
          <w:rFonts w:ascii="Times New Roman" w:hAnsi="Times New Roman"/>
          <w:sz w:val="24"/>
          <w:szCs w:val="24"/>
        </w:rPr>
        <w:t>.</w:t>
      </w:r>
    </w:p>
    <w:p w14:paraId="43F5CD32" w14:textId="77777777" w:rsidR="00122962" w:rsidRPr="00D026C8" w:rsidRDefault="00122962" w:rsidP="00122962">
      <w:pPr>
        <w:shd w:val="clear" w:color="auto" w:fill="FFFFFF"/>
        <w:tabs>
          <w:tab w:val="left" w:pos="540"/>
        </w:tabs>
        <w:spacing w:before="120" w:after="0" w:line="240" w:lineRule="auto"/>
        <w:jc w:val="both"/>
        <w:rPr>
          <w:rFonts w:ascii="Times New Roman" w:hAnsi="Times New Roman"/>
          <w:sz w:val="24"/>
          <w:szCs w:val="24"/>
        </w:rPr>
      </w:pPr>
      <w:proofErr w:type="spellStart"/>
      <w:r w:rsidRPr="00D026C8">
        <w:rPr>
          <w:rFonts w:ascii="Times New Roman" w:hAnsi="Times New Roman"/>
          <w:sz w:val="24"/>
          <w:szCs w:val="24"/>
        </w:rPr>
        <w:t>Mặc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dù</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bối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cảnh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thức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cân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đối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vĩ</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mô</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được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duy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trì</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ổn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định</w:t>
      </w:r>
      <w:proofErr w:type="spellEnd"/>
      <w:r w:rsidRPr="00D026C8">
        <w:rPr>
          <w:rFonts w:ascii="Times New Roman" w:hAnsi="Times New Roman"/>
          <w:sz w:val="24"/>
          <w:szCs w:val="24"/>
        </w:rPr>
        <w:t xml:space="preserve">. GDP </w:t>
      </w:r>
      <w:proofErr w:type="spellStart"/>
      <w:r w:rsidRPr="00D026C8">
        <w:rPr>
          <w:rFonts w:ascii="Times New Roman" w:hAnsi="Times New Roman"/>
          <w:sz w:val="24"/>
          <w:szCs w:val="24"/>
        </w:rPr>
        <w:t>quý</w:t>
      </w:r>
      <w:proofErr w:type="spellEnd"/>
      <w:r w:rsidRPr="00D026C8">
        <w:rPr>
          <w:rFonts w:ascii="Times New Roman" w:hAnsi="Times New Roman"/>
          <w:sz w:val="24"/>
          <w:szCs w:val="24"/>
        </w:rPr>
        <w:t xml:space="preserve"> 4/2024 </w:t>
      </w:r>
      <w:proofErr w:type="spellStart"/>
      <w:r w:rsidRPr="00D026C8">
        <w:rPr>
          <w:rFonts w:ascii="Times New Roman" w:hAnsi="Times New Roman"/>
          <w:sz w:val="24"/>
          <w:szCs w:val="24"/>
        </w:rPr>
        <w:t>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7,55%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cùng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trước</w:t>
      </w:r>
      <w:proofErr w:type="spellEnd"/>
      <w:r w:rsidRPr="00D026C8">
        <w:rPr>
          <w:rFonts w:ascii="Times New Roman" w:hAnsi="Times New Roman"/>
          <w:sz w:val="24"/>
          <w:szCs w:val="24"/>
        </w:rPr>
        <w:t xml:space="preserve">. Trong </w:t>
      </w:r>
      <w:proofErr w:type="spellStart"/>
      <w:r w:rsidRPr="00D026C8">
        <w:rPr>
          <w:rFonts w:ascii="Times New Roman" w:hAnsi="Times New Roman"/>
          <w:sz w:val="24"/>
          <w:szCs w:val="24"/>
        </w:rPr>
        <w:t>đó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nông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lâm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nghiệp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thủy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sản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2,99%, </w:t>
      </w:r>
      <w:proofErr w:type="spellStart"/>
      <w:r w:rsidRPr="00D026C8">
        <w:rPr>
          <w:rFonts w:ascii="Times New Roman" w:hAnsi="Times New Roman"/>
          <w:sz w:val="24"/>
          <w:szCs w:val="24"/>
        </w:rPr>
        <w:t>đóng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góp</w:t>
      </w:r>
      <w:proofErr w:type="spellEnd"/>
      <w:r w:rsidRPr="00D026C8">
        <w:rPr>
          <w:rFonts w:ascii="Times New Roman" w:hAnsi="Times New Roman"/>
          <w:sz w:val="24"/>
          <w:szCs w:val="24"/>
        </w:rPr>
        <w:t xml:space="preserve"> 4,86% </w:t>
      </w:r>
      <w:proofErr w:type="spellStart"/>
      <w:r w:rsidRPr="00D026C8">
        <w:rPr>
          <w:rFonts w:ascii="Times New Roman" w:hAnsi="Times New Roman"/>
          <w:sz w:val="24"/>
          <w:szCs w:val="24"/>
        </w:rPr>
        <w:t>vào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mức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tổng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trị</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thêm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toàn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nền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tế</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công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nghiệp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xây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dựng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8,35%, </w:t>
      </w:r>
      <w:proofErr w:type="spellStart"/>
      <w:r w:rsidRPr="00D026C8">
        <w:rPr>
          <w:rFonts w:ascii="Times New Roman" w:hAnsi="Times New Roman"/>
          <w:sz w:val="24"/>
          <w:szCs w:val="24"/>
        </w:rPr>
        <w:t>đóng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góp</w:t>
      </w:r>
      <w:proofErr w:type="spellEnd"/>
      <w:r w:rsidRPr="00D026C8">
        <w:rPr>
          <w:rFonts w:ascii="Times New Roman" w:hAnsi="Times New Roman"/>
          <w:sz w:val="24"/>
          <w:szCs w:val="24"/>
        </w:rPr>
        <w:t xml:space="preserve"> 44,03%; </w:t>
      </w:r>
      <w:proofErr w:type="spellStart"/>
      <w:r w:rsidRPr="00D026C8">
        <w:rPr>
          <w:rFonts w:ascii="Times New Roman" w:hAnsi="Times New Roman"/>
          <w:sz w:val="24"/>
          <w:szCs w:val="24"/>
        </w:rPr>
        <w:t>khu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dịch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vụ</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8,21%, </w:t>
      </w:r>
      <w:proofErr w:type="spellStart"/>
      <w:r w:rsidRPr="00D026C8">
        <w:rPr>
          <w:rFonts w:ascii="Times New Roman" w:hAnsi="Times New Roman"/>
          <w:sz w:val="24"/>
          <w:szCs w:val="24"/>
        </w:rPr>
        <w:t>đóng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góp</w:t>
      </w:r>
      <w:proofErr w:type="spellEnd"/>
      <w:r w:rsidRPr="00D026C8">
        <w:rPr>
          <w:rFonts w:ascii="Times New Roman" w:hAnsi="Times New Roman"/>
          <w:sz w:val="24"/>
          <w:szCs w:val="24"/>
        </w:rPr>
        <w:t xml:space="preserve"> 51,11%.</w:t>
      </w:r>
    </w:p>
    <w:p w14:paraId="47CDDC3E" w14:textId="77777777" w:rsidR="00122962" w:rsidRPr="00D026C8" w:rsidRDefault="00122962" w:rsidP="00122962">
      <w:pPr>
        <w:shd w:val="clear" w:color="auto" w:fill="FFFFFF"/>
        <w:tabs>
          <w:tab w:val="left" w:pos="540"/>
        </w:tabs>
        <w:spacing w:before="120" w:after="0" w:line="240" w:lineRule="auto"/>
        <w:jc w:val="both"/>
        <w:rPr>
          <w:rFonts w:ascii="Times New Roman" w:hAnsi="Times New Roman"/>
          <w:sz w:val="24"/>
          <w:szCs w:val="24"/>
        </w:rPr>
      </w:pPr>
      <w:proofErr w:type="spellStart"/>
      <w:r w:rsidRPr="00D026C8">
        <w:rPr>
          <w:rFonts w:ascii="Times New Roman" w:hAnsi="Times New Roman"/>
          <w:sz w:val="24"/>
          <w:szCs w:val="24"/>
        </w:rPr>
        <w:lastRenderedPageBreak/>
        <w:t>Xuất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khẩu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quý</w:t>
      </w:r>
      <w:proofErr w:type="spellEnd"/>
      <w:r w:rsidRPr="00D026C8">
        <w:rPr>
          <w:rFonts w:ascii="Times New Roman" w:hAnsi="Times New Roman"/>
          <w:sz w:val="24"/>
          <w:szCs w:val="24"/>
        </w:rPr>
        <w:t xml:space="preserve"> 4 </w:t>
      </w:r>
      <w:proofErr w:type="spellStart"/>
      <w:r w:rsidRPr="00D026C8">
        <w:rPr>
          <w:rFonts w:ascii="Times New Roman" w:hAnsi="Times New Roman"/>
          <w:sz w:val="24"/>
          <w:szCs w:val="24"/>
        </w:rPr>
        <w:t>tiếp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tục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điểm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sáng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trị</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đạt</w:t>
      </w:r>
      <w:proofErr w:type="spellEnd"/>
      <w:r w:rsidRPr="00D026C8">
        <w:rPr>
          <w:rFonts w:ascii="Times New Roman" w:hAnsi="Times New Roman"/>
          <w:sz w:val="24"/>
          <w:szCs w:val="24"/>
        </w:rPr>
        <w:t xml:space="preserve"> 105,9 </w:t>
      </w:r>
      <w:proofErr w:type="spellStart"/>
      <w:r w:rsidRPr="00D026C8">
        <w:rPr>
          <w:rFonts w:ascii="Times New Roman" w:hAnsi="Times New Roman"/>
          <w:sz w:val="24"/>
          <w:szCs w:val="24"/>
        </w:rPr>
        <w:t>tỷ</w:t>
      </w:r>
      <w:proofErr w:type="spellEnd"/>
      <w:r w:rsidRPr="00D026C8">
        <w:rPr>
          <w:rFonts w:ascii="Times New Roman" w:hAnsi="Times New Roman"/>
          <w:sz w:val="24"/>
          <w:szCs w:val="24"/>
        </w:rPr>
        <w:t xml:space="preserve"> USD,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11,5%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cùng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tuy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nhiên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đã</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nhẹ</w:t>
      </w:r>
      <w:proofErr w:type="spellEnd"/>
      <w:r w:rsidRPr="00D026C8">
        <w:rPr>
          <w:rFonts w:ascii="Times New Roman" w:hAnsi="Times New Roman"/>
          <w:sz w:val="24"/>
          <w:szCs w:val="24"/>
        </w:rPr>
        <w:t xml:space="preserve"> 2,5%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quý</w:t>
      </w:r>
      <w:proofErr w:type="spellEnd"/>
      <w:r w:rsidRPr="00D026C8">
        <w:rPr>
          <w:rFonts w:ascii="Times New Roman" w:hAnsi="Times New Roman"/>
          <w:sz w:val="24"/>
          <w:szCs w:val="24"/>
        </w:rPr>
        <w:t xml:space="preserve"> 3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2024. </w:t>
      </w:r>
      <w:proofErr w:type="spellStart"/>
      <w:r w:rsidRPr="00D026C8">
        <w:rPr>
          <w:rFonts w:ascii="Times New Roman" w:hAnsi="Times New Roman"/>
          <w:sz w:val="24"/>
          <w:szCs w:val="24"/>
        </w:rPr>
        <w:t>Nhập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khẩu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đạt</w:t>
      </w:r>
      <w:proofErr w:type="spellEnd"/>
      <w:r w:rsidRPr="00D026C8">
        <w:rPr>
          <w:rFonts w:ascii="Times New Roman" w:hAnsi="Times New Roman"/>
          <w:sz w:val="24"/>
          <w:szCs w:val="24"/>
        </w:rPr>
        <w:t xml:space="preserve"> 101,9 </w:t>
      </w:r>
      <w:proofErr w:type="spellStart"/>
      <w:r w:rsidRPr="00D026C8">
        <w:rPr>
          <w:rFonts w:ascii="Times New Roman" w:hAnsi="Times New Roman"/>
          <w:sz w:val="24"/>
          <w:szCs w:val="24"/>
        </w:rPr>
        <w:t>tỷ</w:t>
      </w:r>
      <w:proofErr w:type="spellEnd"/>
      <w:r w:rsidRPr="00D026C8">
        <w:rPr>
          <w:rFonts w:ascii="Times New Roman" w:hAnsi="Times New Roman"/>
          <w:sz w:val="24"/>
          <w:szCs w:val="24"/>
        </w:rPr>
        <w:t xml:space="preserve"> USD,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14,9%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cùng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2,2%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quý</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trước</w:t>
      </w:r>
      <w:proofErr w:type="spellEnd"/>
      <w:r w:rsidRPr="00D026C8">
        <w:rPr>
          <w:rFonts w:ascii="Times New Roman" w:hAnsi="Times New Roman"/>
          <w:sz w:val="24"/>
          <w:szCs w:val="24"/>
        </w:rPr>
        <w:t xml:space="preserve">. FDI </w:t>
      </w:r>
      <w:proofErr w:type="spellStart"/>
      <w:r w:rsidRPr="00D026C8">
        <w:rPr>
          <w:rFonts w:ascii="Times New Roman" w:hAnsi="Times New Roman"/>
          <w:sz w:val="24"/>
          <w:szCs w:val="24"/>
        </w:rPr>
        <w:t>tiếp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tục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ổn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định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tổng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vốn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hiện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cả</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đạt</w:t>
      </w:r>
      <w:proofErr w:type="spellEnd"/>
      <w:r w:rsidRPr="00D026C8">
        <w:rPr>
          <w:rFonts w:ascii="Times New Roman" w:hAnsi="Times New Roman"/>
          <w:sz w:val="24"/>
          <w:szCs w:val="24"/>
        </w:rPr>
        <w:t xml:space="preserve"> 25,35 </w:t>
      </w:r>
      <w:proofErr w:type="spellStart"/>
      <w:r w:rsidRPr="00D026C8">
        <w:rPr>
          <w:rFonts w:ascii="Times New Roman" w:hAnsi="Times New Roman"/>
          <w:sz w:val="24"/>
          <w:szCs w:val="24"/>
        </w:rPr>
        <w:t>tỷ</w:t>
      </w:r>
      <w:proofErr w:type="spellEnd"/>
      <w:r w:rsidRPr="00D026C8">
        <w:rPr>
          <w:rFonts w:ascii="Times New Roman" w:hAnsi="Times New Roman"/>
          <w:sz w:val="24"/>
          <w:szCs w:val="24"/>
        </w:rPr>
        <w:t xml:space="preserve"> USD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9,4%). </w:t>
      </w:r>
      <w:proofErr w:type="spellStart"/>
      <w:r w:rsidRPr="00D026C8">
        <w:rPr>
          <w:rFonts w:ascii="Times New Roman" w:hAnsi="Times New Roman"/>
          <w:sz w:val="24"/>
          <w:szCs w:val="24"/>
        </w:rPr>
        <w:t>Lạm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phát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2024 </w:t>
      </w:r>
      <w:proofErr w:type="spellStart"/>
      <w:r w:rsidRPr="00D026C8">
        <w:rPr>
          <w:rFonts w:ascii="Times New Roman" w:hAnsi="Times New Roman"/>
          <w:sz w:val="24"/>
          <w:szCs w:val="24"/>
        </w:rPr>
        <w:t>được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soát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tốt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lạm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phát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đến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tháng</w:t>
      </w:r>
      <w:proofErr w:type="spellEnd"/>
      <w:r w:rsidRPr="00D026C8">
        <w:rPr>
          <w:rFonts w:ascii="Times New Roman" w:hAnsi="Times New Roman"/>
          <w:sz w:val="24"/>
          <w:szCs w:val="24"/>
        </w:rPr>
        <w:t xml:space="preserve"> 12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2024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2,94%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cùng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kỳ</w:t>
      </w:r>
      <w:proofErr w:type="spellEnd"/>
      <w:r w:rsidRPr="00D026C8">
        <w:rPr>
          <w:rFonts w:ascii="Times New Roman" w:hAnsi="Times New Roman"/>
          <w:sz w:val="24"/>
          <w:szCs w:val="24"/>
        </w:rPr>
        <w:t xml:space="preserve">. CPI </w:t>
      </w:r>
      <w:proofErr w:type="spellStart"/>
      <w:r w:rsidRPr="00D026C8">
        <w:rPr>
          <w:rFonts w:ascii="Times New Roman" w:hAnsi="Times New Roman"/>
          <w:sz w:val="24"/>
          <w:szCs w:val="24"/>
        </w:rPr>
        <w:t>bình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quân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cả</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3,63%, </w:t>
      </w:r>
      <w:proofErr w:type="spellStart"/>
      <w:r w:rsidRPr="00D026C8">
        <w:rPr>
          <w:rFonts w:ascii="Times New Roman" w:hAnsi="Times New Roman"/>
          <w:sz w:val="24"/>
          <w:szCs w:val="24"/>
        </w:rPr>
        <w:t>thấp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hơn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mức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mục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tiêu</w:t>
      </w:r>
      <w:proofErr w:type="spellEnd"/>
      <w:r w:rsidRPr="00D026C8">
        <w:rPr>
          <w:rFonts w:ascii="Times New Roman" w:hAnsi="Times New Roman"/>
          <w:sz w:val="24"/>
          <w:szCs w:val="24"/>
        </w:rPr>
        <w:t xml:space="preserve"> 4,5% </w:t>
      </w:r>
      <w:proofErr w:type="spellStart"/>
      <w:r w:rsidRPr="00D026C8">
        <w:rPr>
          <w:rFonts w:ascii="Times New Roman" w:hAnsi="Times New Roman"/>
          <w:sz w:val="24"/>
          <w:szCs w:val="24"/>
        </w:rPr>
        <w:t>của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phủ</w:t>
      </w:r>
      <w:proofErr w:type="spellEnd"/>
      <w:r w:rsidRPr="00D026C8">
        <w:rPr>
          <w:rFonts w:ascii="Times New Roman" w:hAnsi="Times New Roman"/>
          <w:sz w:val="24"/>
          <w:szCs w:val="24"/>
        </w:rPr>
        <w:t xml:space="preserve">. Tuy </w:t>
      </w:r>
      <w:proofErr w:type="spellStart"/>
      <w:r w:rsidRPr="00D026C8">
        <w:rPr>
          <w:rFonts w:ascii="Times New Roman" w:hAnsi="Times New Roman"/>
          <w:sz w:val="24"/>
          <w:szCs w:val="24"/>
        </w:rPr>
        <w:t>nhiên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chỉ</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số</w:t>
      </w:r>
      <w:proofErr w:type="spellEnd"/>
      <w:r w:rsidRPr="00D026C8">
        <w:rPr>
          <w:rFonts w:ascii="Times New Roman" w:hAnsi="Times New Roman"/>
          <w:sz w:val="24"/>
          <w:szCs w:val="24"/>
        </w:rPr>
        <w:t xml:space="preserve"> PMI </w:t>
      </w:r>
      <w:proofErr w:type="spellStart"/>
      <w:r w:rsidRPr="00D026C8">
        <w:rPr>
          <w:rFonts w:ascii="Times New Roman" w:hAnsi="Times New Roman"/>
          <w:sz w:val="24"/>
          <w:szCs w:val="24"/>
        </w:rPr>
        <w:t>tháng</w:t>
      </w:r>
      <w:proofErr w:type="spellEnd"/>
      <w:r w:rsidRPr="00D026C8">
        <w:rPr>
          <w:rFonts w:ascii="Times New Roman" w:hAnsi="Times New Roman"/>
          <w:sz w:val="24"/>
          <w:szCs w:val="24"/>
        </w:rPr>
        <w:t xml:space="preserve"> 12/2024 </w:t>
      </w:r>
      <w:proofErr w:type="spellStart"/>
      <w:r w:rsidRPr="00D026C8">
        <w:rPr>
          <w:rFonts w:ascii="Times New Roman" w:hAnsi="Times New Roman"/>
          <w:sz w:val="24"/>
          <w:szCs w:val="24"/>
        </w:rPr>
        <w:t>giảm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xuống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dưới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ngưỡng</w:t>
      </w:r>
      <w:proofErr w:type="spellEnd"/>
      <w:r w:rsidRPr="00D026C8">
        <w:rPr>
          <w:rFonts w:ascii="Times New Roman" w:hAnsi="Times New Roman"/>
          <w:sz w:val="24"/>
          <w:szCs w:val="24"/>
        </w:rPr>
        <w:t xml:space="preserve"> 50 </w:t>
      </w:r>
      <w:proofErr w:type="spellStart"/>
      <w:r w:rsidRPr="00D026C8">
        <w:rPr>
          <w:rFonts w:ascii="Times New Roman" w:hAnsi="Times New Roman"/>
          <w:sz w:val="24"/>
          <w:szCs w:val="24"/>
        </w:rPr>
        <w:t>tại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mức</w:t>
      </w:r>
      <w:proofErr w:type="spellEnd"/>
      <w:r w:rsidRPr="00D026C8">
        <w:rPr>
          <w:rFonts w:ascii="Times New Roman" w:hAnsi="Times New Roman"/>
          <w:sz w:val="24"/>
          <w:szCs w:val="24"/>
        </w:rPr>
        <w:t xml:space="preserve"> 49,8 </w:t>
      </w:r>
      <w:proofErr w:type="spellStart"/>
      <w:r w:rsidRPr="00D026C8">
        <w:rPr>
          <w:rFonts w:ascii="Times New Roman" w:hAnsi="Times New Roman"/>
          <w:sz w:val="24"/>
          <w:szCs w:val="24"/>
        </w:rPr>
        <w:t>điểm</w:t>
      </w:r>
      <w:proofErr w:type="spellEnd"/>
      <w:r w:rsidRPr="00D026C8">
        <w:rPr>
          <w:rFonts w:ascii="Times New Roman" w:hAnsi="Times New Roman"/>
          <w:sz w:val="24"/>
          <w:szCs w:val="24"/>
        </w:rPr>
        <w:t xml:space="preserve"> so </w:t>
      </w:r>
      <w:proofErr w:type="spellStart"/>
      <w:r w:rsidRPr="00D026C8">
        <w:rPr>
          <w:rFonts w:ascii="Times New Roman" w:hAnsi="Times New Roman"/>
          <w:sz w:val="24"/>
          <w:szCs w:val="24"/>
        </w:rPr>
        <w:t>với</w:t>
      </w:r>
      <w:proofErr w:type="spellEnd"/>
      <w:r w:rsidRPr="00D026C8">
        <w:rPr>
          <w:rFonts w:ascii="Times New Roman" w:hAnsi="Times New Roman"/>
          <w:sz w:val="24"/>
          <w:szCs w:val="24"/>
        </w:rPr>
        <w:t xml:space="preserve"> 50,8 </w:t>
      </w:r>
      <w:proofErr w:type="spellStart"/>
      <w:r w:rsidRPr="00D026C8">
        <w:rPr>
          <w:rFonts w:ascii="Times New Roman" w:hAnsi="Times New Roman"/>
          <w:sz w:val="24"/>
          <w:szCs w:val="24"/>
        </w:rPr>
        <w:t>của</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tháng</w:t>
      </w:r>
      <w:proofErr w:type="spellEnd"/>
      <w:r w:rsidRPr="00D026C8">
        <w:rPr>
          <w:rFonts w:ascii="Times New Roman" w:hAnsi="Times New Roman"/>
          <w:sz w:val="24"/>
          <w:szCs w:val="24"/>
        </w:rPr>
        <w:t xml:space="preserve"> 11, </w:t>
      </w:r>
      <w:proofErr w:type="spellStart"/>
      <w:r w:rsidRPr="00D026C8">
        <w:rPr>
          <w:rFonts w:ascii="Times New Roman" w:hAnsi="Times New Roman"/>
          <w:sz w:val="24"/>
          <w:szCs w:val="24"/>
        </w:rPr>
        <w:t>cho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thấy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điều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kiện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kinh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doanh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tổng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thể</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đã</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suy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giảm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nhẹ</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thời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điểm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cuối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D026C8">
        <w:rPr>
          <w:rFonts w:ascii="Times New Roman" w:hAnsi="Times New Roman"/>
          <w:sz w:val="24"/>
          <w:szCs w:val="24"/>
        </w:rPr>
        <w:t>.</w:t>
      </w:r>
    </w:p>
    <w:bookmarkEnd w:id="1"/>
    <w:bookmarkEnd w:id="2"/>
    <w:p w14:paraId="3F8711A3" w14:textId="77777777" w:rsidR="00122962" w:rsidRDefault="00122962" w:rsidP="00122962">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252C3D">
        <w:rPr>
          <w:rFonts w:ascii="Times New Roman" w:hAnsi="Times New Roman"/>
          <w:color w:val="000000" w:themeColor="text1"/>
          <w:sz w:val="24"/>
          <w:szCs w:val="24"/>
        </w:rPr>
        <w:t xml:space="preserve">Thanh </w:t>
      </w:r>
      <w:proofErr w:type="spellStart"/>
      <w:r w:rsidRPr="00252C3D">
        <w:rPr>
          <w:rFonts w:ascii="Times New Roman" w:hAnsi="Times New Roman"/>
          <w:color w:val="000000" w:themeColor="text1"/>
          <w:sz w:val="24"/>
          <w:szCs w:val="24"/>
        </w:rPr>
        <w:t>khoản</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hệ</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thống</w:t>
      </w:r>
      <w:proofErr w:type="spellEnd"/>
      <w:r w:rsidRPr="00252C3D">
        <w:rPr>
          <w:rFonts w:ascii="Times New Roman" w:hAnsi="Times New Roman"/>
          <w:color w:val="000000" w:themeColor="text1"/>
          <w:sz w:val="24"/>
          <w:szCs w:val="24"/>
        </w:rPr>
        <w:t xml:space="preserve"> ngân </w:t>
      </w:r>
      <w:proofErr w:type="spellStart"/>
      <w:r w:rsidRPr="00252C3D">
        <w:rPr>
          <w:rFonts w:ascii="Times New Roman" w:hAnsi="Times New Roman"/>
          <w:color w:val="000000" w:themeColor="text1"/>
          <w:sz w:val="24"/>
          <w:szCs w:val="24"/>
        </w:rPr>
        <w:t>hàng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giảm</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vào</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thời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điểm</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tháng</w:t>
      </w:r>
      <w:proofErr w:type="spellEnd"/>
      <w:r w:rsidRPr="00252C3D">
        <w:rPr>
          <w:rFonts w:ascii="Times New Roman" w:hAnsi="Times New Roman"/>
          <w:color w:val="000000" w:themeColor="text1"/>
          <w:sz w:val="24"/>
          <w:szCs w:val="24"/>
        </w:rPr>
        <w:t xml:space="preserve"> 12 </w:t>
      </w:r>
      <w:proofErr w:type="spellStart"/>
      <w:r w:rsidRPr="00252C3D">
        <w:rPr>
          <w:rFonts w:ascii="Times New Roman" w:hAnsi="Times New Roman"/>
          <w:color w:val="000000" w:themeColor="text1"/>
          <w:sz w:val="24"/>
          <w:szCs w:val="24"/>
        </w:rPr>
        <w:t>năm</w:t>
      </w:r>
      <w:proofErr w:type="spellEnd"/>
      <w:r w:rsidRPr="00252C3D">
        <w:rPr>
          <w:rFonts w:ascii="Times New Roman" w:hAnsi="Times New Roman"/>
          <w:color w:val="000000" w:themeColor="text1"/>
          <w:sz w:val="24"/>
          <w:szCs w:val="24"/>
        </w:rPr>
        <w:t xml:space="preserve"> 2024 </w:t>
      </w:r>
      <w:proofErr w:type="spellStart"/>
      <w:r w:rsidRPr="00252C3D">
        <w:rPr>
          <w:rFonts w:ascii="Times New Roman" w:hAnsi="Times New Roman"/>
          <w:color w:val="000000" w:themeColor="text1"/>
          <w:sz w:val="24"/>
          <w:szCs w:val="24"/>
        </w:rPr>
        <w:t>khi</w:t>
      </w:r>
      <w:proofErr w:type="spellEnd"/>
      <w:r w:rsidRPr="00252C3D">
        <w:rPr>
          <w:rFonts w:ascii="Times New Roman" w:hAnsi="Times New Roman"/>
          <w:color w:val="000000" w:themeColor="text1"/>
          <w:sz w:val="24"/>
          <w:szCs w:val="24"/>
        </w:rPr>
        <w:t xml:space="preserve"> NHNN </w:t>
      </w:r>
      <w:proofErr w:type="spellStart"/>
      <w:r w:rsidRPr="00252C3D">
        <w:rPr>
          <w:rFonts w:ascii="Times New Roman" w:hAnsi="Times New Roman"/>
          <w:color w:val="000000" w:themeColor="text1"/>
          <w:sz w:val="24"/>
          <w:szCs w:val="24"/>
        </w:rPr>
        <w:t>duy</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trì</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tín</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phiếu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nhằm</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giảm</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áp</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lực</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giá</w:t>
      </w:r>
      <w:proofErr w:type="spellEnd"/>
      <w:r w:rsidRPr="00252C3D">
        <w:rPr>
          <w:rFonts w:ascii="Times New Roman" w:hAnsi="Times New Roman"/>
          <w:color w:val="000000" w:themeColor="text1"/>
          <w:sz w:val="24"/>
          <w:szCs w:val="24"/>
        </w:rPr>
        <w:t xml:space="preserve">, qua </w:t>
      </w:r>
      <w:proofErr w:type="spellStart"/>
      <w:r w:rsidRPr="00252C3D">
        <w:rPr>
          <w:rFonts w:ascii="Times New Roman" w:hAnsi="Times New Roman"/>
          <w:color w:val="000000" w:themeColor="text1"/>
          <w:sz w:val="24"/>
          <w:szCs w:val="24"/>
        </w:rPr>
        <w:t>đó</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lợi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suất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trái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phiếu</w:t>
      </w:r>
      <w:proofErr w:type="spellEnd"/>
      <w:r w:rsidRPr="00252C3D">
        <w:rPr>
          <w:rFonts w:ascii="Times New Roman" w:hAnsi="Times New Roman"/>
          <w:color w:val="000000" w:themeColor="text1"/>
          <w:sz w:val="24"/>
          <w:szCs w:val="24"/>
        </w:rPr>
        <w:t xml:space="preserve"> Chính </w:t>
      </w:r>
      <w:proofErr w:type="spellStart"/>
      <w:r w:rsidRPr="00252C3D">
        <w:rPr>
          <w:rFonts w:ascii="Times New Roman" w:hAnsi="Times New Roman"/>
          <w:color w:val="000000" w:themeColor="text1"/>
          <w:sz w:val="24"/>
          <w:szCs w:val="24"/>
        </w:rPr>
        <w:t>Phủ</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có</w:t>
      </w:r>
      <w:proofErr w:type="spellEnd"/>
      <w:r w:rsidRPr="00252C3D">
        <w:rPr>
          <w:rFonts w:ascii="Times New Roman" w:hAnsi="Times New Roman"/>
          <w:color w:val="000000" w:themeColor="text1"/>
          <w:sz w:val="24"/>
          <w:szCs w:val="24"/>
        </w:rPr>
        <w:t xml:space="preserve"> xu </w:t>
      </w:r>
      <w:proofErr w:type="spellStart"/>
      <w:r w:rsidRPr="00252C3D">
        <w:rPr>
          <w:rFonts w:ascii="Times New Roman" w:hAnsi="Times New Roman"/>
          <w:color w:val="000000" w:themeColor="text1"/>
          <w:sz w:val="24"/>
          <w:szCs w:val="24"/>
        </w:rPr>
        <w:t>hướng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tăng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lên</w:t>
      </w:r>
      <w:proofErr w:type="spellEnd"/>
      <w:r w:rsidRPr="00252C3D">
        <w:rPr>
          <w:rFonts w:ascii="Times New Roman" w:hAnsi="Times New Roman"/>
          <w:color w:val="000000" w:themeColor="text1"/>
          <w:sz w:val="24"/>
          <w:szCs w:val="24"/>
        </w:rPr>
        <w:t xml:space="preserve"> so </w:t>
      </w:r>
      <w:proofErr w:type="spellStart"/>
      <w:r w:rsidRPr="00252C3D">
        <w:rPr>
          <w:rFonts w:ascii="Times New Roman" w:hAnsi="Times New Roman"/>
          <w:color w:val="000000" w:themeColor="text1"/>
          <w:sz w:val="24"/>
          <w:szCs w:val="24"/>
        </w:rPr>
        <w:t>với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cùng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tất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kỳ</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hạn</w:t>
      </w:r>
      <w:proofErr w:type="spellEnd"/>
      <w:r w:rsidRPr="00252C3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khối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lượng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sidRPr="00252C3D">
        <w:rPr>
          <w:rFonts w:ascii="Times New Roman" w:hAnsi="Times New Roman"/>
          <w:color w:val="000000" w:themeColor="text1"/>
          <w:sz w:val="24"/>
          <w:szCs w:val="24"/>
        </w:rPr>
        <w:t>ính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đến</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hết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tháng</w:t>
      </w:r>
      <w:proofErr w:type="spellEnd"/>
      <w:r w:rsidRPr="00252C3D">
        <w:rPr>
          <w:rFonts w:ascii="Times New Roman" w:hAnsi="Times New Roman"/>
          <w:color w:val="000000" w:themeColor="text1"/>
          <w:sz w:val="24"/>
          <w:szCs w:val="24"/>
        </w:rPr>
        <w:t xml:space="preserve"> 12 </w:t>
      </w:r>
      <w:proofErr w:type="spellStart"/>
      <w:r w:rsidRPr="00252C3D">
        <w:rPr>
          <w:rFonts w:ascii="Times New Roman" w:hAnsi="Times New Roman"/>
          <w:color w:val="000000" w:themeColor="text1"/>
          <w:sz w:val="24"/>
          <w:szCs w:val="24"/>
        </w:rPr>
        <w:t>năm</w:t>
      </w:r>
      <w:proofErr w:type="spellEnd"/>
      <w:r w:rsidRPr="00252C3D">
        <w:rPr>
          <w:rFonts w:ascii="Times New Roman" w:hAnsi="Times New Roman"/>
          <w:color w:val="000000" w:themeColor="text1"/>
          <w:sz w:val="24"/>
          <w:szCs w:val="24"/>
        </w:rPr>
        <w:t xml:space="preserve"> 2024, </w:t>
      </w:r>
      <w:proofErr w:type="spellStart"/>
      <w:r>
        <w:rPr>
          <w:rFonts w:ascii="Times New Roman" w:hAnsi="Times New Roman"/>
          <w:color w:val="000000" w:themeColor="text1"/>
          <w:sz w:val="24"/>
          <w:szCs w:val="24"/>
        </w:rPr>
        <w:t>t</w:t>
      </w:r>
      <w:r w:rsidRPr="00252C3D">
        <w:rPr>
          <w:rFonts w:ascii="Times New Roman" w:hAnsi="Times New Roman"/>
          <w:color w:val="000000" w:themeColor="text1"/>
          <w:sz w:val="24"/>
          <w:szCs w:val="24"/>
        </w:rPr>
        <w:t>ổng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giá</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trị</w:t>
      </w:r>
      <w:proofErr w:type="spellEnd"/>
      <w:r w:rsidRPr="00252C3D">
        <w:rPr>
          <w:rFonts w:ascii="Times New Roman" w:hAnsi="Times New Roman"/>
          <w:color w:val="000000" w:themeColor="text1"/>
          <w:sz w:val="24"/>
          <w:szCs w:val="24"/>
        </w:rPr>
        <w:t xml:space="preserve"> TPCP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thông</w:t>
      </w:r>
      <w:proofErr w:type="spellEnd"/>
      <w:r w:rsidRPr="00252C3D">
        <w:rPr>
          <w:rFonts w:ascii="Times New Roman" w:hAnsi="Times New Roman"/>
          <w:color w:val="000000" w:themeColor="text1"/>
          <w:sz w:val="24"/>
          <w:szCs w:val="24"/>
        </w:rPr>
        <w:t xml:space="preserve"> qua </w:t>
      </w:r>
      <w:proofErr w:type="spellStart"/>
      <w:r w:rsidRPr="00252C3D">
        <w:rPr>
          <w:rFonts w:ascii="Times New Roman" w:hAnsi="Times New Roman"/>
          <w:color w:val="000000" w:themeColor="text1"/>
          <w:sz w:val="24"/>
          <w:szCs w:val="24"/>
        </w:rPr>
        <w:t>đấu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thầu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trong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năm</w:t>
      </w:r>
      <w:proofErr w:type="spellEnd"/>
      <w:r w:rsidRPr="00252C3D">
        <w:rPr>
          <w:rFonts w:ascii="Times New Roman" w:hAnsi="Times New Roman"/>
          <w:color w:val="000000" w:themeColor="text1"/>
          <w:sz w:val="24"/>
          <w:szCs w:val="24"/>
        </w:rPr>
        <w:t xml:space="preserve"> 2024 </w:t>
      </w:r>
      <w:proofErr w:type="spellStart"/>
      <w:r w:rsidRPr="00252C3D">
        <w:rPr>
          <w:rFonts w:ascii="Times New Roman" w:hAnsi="Times New Roman"/>
          <w:color w:val="000000" w:themeColor="text1"/>
          <w:sz w:val="24"/>
          <w:szCs w:val="24"/>
        </w:rPr>
        <w:t>là</w:t>
      </w:r>
      <w:proofErr w:type="spellEnd"/>
      <w:r w:rsidRPr="00252C3D">
        <w:rPr>
          <w:rFonts w:ascii="Times New Roman" w:hAnsi="Times New Roman"/>
          <w:color w:val="000000" w:themeColor="text1"/>
          <w:sz w:val="24"/>
          <w:szCs w:val="24"/>
        </w:rPr>
        <w:t xml:space="preserve"> 330,376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tương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đương</w:t>
      </w:r>
      <w:proofErr w:type="spellEnd"/>
      <w:r w:rsidRPr="00252C3D">
        <w:rPr>
          <w:rFonts w:ascii="Times New Roman" w:hAnsi="Times New Roman"/>
          <w:color w:val="000000" w:themeColor="text1"/>
          <w:sz w:val="24"/>
          <w:szCs w:val="24"/>
        </w:rPr>
        <w:t xml:space="preserve"> 82.6% </w:t>
      </w:r>
      <w:proofErr w:type="spellStart"/>
      <w:r w:rsidRPr="00252C3D">
        <w:rPr>
          <w:rFonts w:ascii="Times New Roman" w:hAnsi="Times New Roman"/>
          <w:color w:val="000000" w:themeColor="text1"/>
          <w:sz w:val="24"/>
          <w:szCs w:val="24"/>
        </w:rPr>
        <w:t>kế</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hoạch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cả</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năm</w:t>
      </w:r>
      <w:proofErr w:type="spellEnd"/>
      <w:r w:rsidRPr="00252C3D">
        <w:rPr>
          <w:rFonts w:ascii="Times New Roman" w:hAnsi="Times New Roman"/>
          <w:color w:val="000000" w:themeColor="text1"/>
          <w:sz w:val="24"/>
          <w:szCs w:val="24"/>
        </w:rPr>
        <w:t xml:space="preserve"> (400,000tỷ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Trong </w:t>
      </w:r>
      <w:proofErr w:type="spellStart"/>
      <w:r w:rsidRPr="00252C3D">
        <w:rPr>
          <w:rFonts w:ascii="Times New Roman" w:hAnsi="Times New Roman"/>
          <w:color w:val="000000" w:themeColor="text1"/>
          <w:sz w:val="24"/>
          <w:szCs w:val="24"/>
        </w:rPr>
        <w:t>đó</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khối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lượng</w:t>
      </w:r>
      <w:proofErr w:type="spellEnd"/>
      <w:r w:rsidRPr="00252C3D">
        <w:rPr>
          <w:rFonts w:ascii="Times New Roman" w:hAnsi="Times New Roman"/>
          <w:color w:val="000000" w:themeColor="text1"/>
          <w:sz w:val="24"/>
          <w:szCs w:val="24"/>
        </w:rPr>
        <w:t xml:space="preserve"> TPCP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Quý 4 </w:t>
      </w:r>
      <w:proofErr w:type="spellStart"/>
      <w:r w:rsidRPr="00252C3D">
        <w:rPr>
          <w:rFonts w:ascii="Times New Roman" w:hAnsi="Times New Roman"/>
          <w:color w:val="000000" w:themeColor="text1"/>
          <w:sz w:val="24"/>
          <w:szCs w:val="24"/>
        </w:rPr>
        <w:t>là</w:t>
      </w:r>
      <w:proofErr w:type="spellEnd"/>
      <w:r w:rsidRPr="00252C3D">
        <w:rPr>
          <w:rFonts w:ascii="Times New Roman" w:hAnsi="Times New Roman"/>
          <w:color w:val="000000" w:themeColor="text1"/>
          <w:sz w:val="24"/>
          <w:szCs w:val="24"/>
        </w:rPr>
        <w:t xml:space="preserve"> 58,705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đạt</w:t>
      </w:r>
      <w:proofErr w:type="spellEnd"/>
      <w:r w:rsidRPr="00252C3D">
        <w:rPr>
          <w:rFonts w:ascii="Times New Roman" w:hAnsi="Times New Roman"/>
          <w:color w:val="000000" w:themeColor="text1"/>
          <w:sz w:val="24"/>
          <w:szCs w:val="24"/>
        </w:rPr>
        <w:t xml:space="preserve"> 45.9% </w:t>
      </w:r>
      <w:proofErr w:type="spellStart"/>
      <w:r w:rsidRPr="00252C3D">
        <w:rPr>
          <w:rFonts w:ascii="Times New Roman" w:hAnsi="Times New Roman"/>
          <w:color w:val="000000" w:themeColor="text1"/>
          <w:sz w:val="24"/>
          <w:szCs w:val="24"/>
        </w:rPr>
        <w:t>kế</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hoạch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quý</w:t>
      </w:r>
      <w:proofErr w:type="spellEnd"/>
      <w:r w:rsidRPr="00252C3D">
        <w:rPr>
          <w:rFonts w:ascii="Times New Roman" w:hAnsi="Times New Roman"/>
          <w:color w:val="000000" w:themeColor="text1"/>
          <w:sz w:val="24"/>
          <w:szCs w:val="24"/>
        </w:rPr>
        <w:t xml:space="preserve"> (128,000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Trong </w:t>
      </w:r>
      <w:proofErr w:type="spellStart"/>
      <w:r w:rsidRPr="00252C3D">
        <w:rPr>
          <w:rFonts w:ascii="Times New Roman" w:hAnsi="Times New Roman"/>
          <w:color w:val="000000" w:themeColor="text1"/>
          <w:sz w:val="24"/>
          <w:szCs w:val="24"/>
        </w:rPr>
        <w:t>khi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đó</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thị</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trường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trái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phiếu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doanh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nghiệp</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có</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dấu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hiệu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phục</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hồi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trở</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lại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tính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đến</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ngày</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công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bố</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thông</w:t>
      </w:r>
      <w:proofErr w:type="spellEnd"/>
      <w:r w:rsidRPr="00252C3D">
        <w:rPr>
          <w:rFonts w:ascii="Times New Roman" w:hAnsi="Times New Roman"/>
          <w:color w:val="000000" w:themeColor="text1"/>
          <w:sz w:val="24"/>
          <w:szCs w:val="24"/>
        </w:rPr>
        <w:t xml:space="preserve"> tin 31/12/2024, </w:t>
      </w:r>
      <w:proofErr w:type="spellStart"/>
      <w:r w:rsidRPr="00252C3D">
        <w:rPr>
          <w:rFonts w:ascii="Times New Roman" w:hAnsi="Times New Roman"/>
          <w:color w:val="000000" w:themeColor="text1"/>
          <w:sz w:val="24"/>
          <w:szCs w:val="24"/>
        </w:rPr>
        <w:t>có</w:t>
      </w:r>
      <w:proofErr w:type="spellEnd"/>
      <w:r w:rsidRPr="00252C3D">
        <w:rPr>
          <w:rFonts w:ascii="Times New Roman" w:hAnsi="Times New Roman"/>
          <w:color w:val="000000" w:themeColor="text1"/>
          <w:sz w:val="24"/>
          <w:szCs w:val="24"/>
        </w:rPr>
        <w:t xml:space="preserve"> 54 </w:t>
      </w:r>
      <w:proofErr w:type="spellStart"/>
      <w:r w:rsidRPr="00252C3D">
        <w:rPr>
          <w:rFonts w:ascii="Times New Roman" w:hAnsi="Times New Roman"/>
          <w:color w:val="000000" w:themeColor="text1"/>
          <w:sz w:val="24"/>
          <w:szCs w:val="24"/>
        </w:rPr>
        <w:t>đợt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trái</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phiếu</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doanh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nghiệp</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riêng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lẻ</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trị</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giá</w:t>
      </w:r>
      <w:proofErr w:type="spellEnd"/>
      <w:r w:rsidRPr="00252C3D">
        <w:rPr>
          <w:rFonts w:ascii="Times New Roman" w:hAnsi="Times New Roman"/>
          <w:color w:val="000000" w:themeColor="text1"/>
          <w:sz w:val="24"/>
          <w:szCs w:val="24"/>
        </w:rPr>
        <w:t xml:space="preserve"> 56,793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và</w:t>
      </w:r>
      <w:proofErr w:type="spellEnd"/>
      <w:r w:rsidRPr="00252C3D">
        <w:rPr>
          <w:rFonts w:ascii="Times New Roman" w:hAnsi="Times New Roman"/>
          <w:color w:val="000000" w:themeColor="text1"/>
          <w:sz w:val="24"/>
          <w:szCs w:val="24"/>
        </w:rPr>
        <w:t xml:space="preserve"> 1 </w:t>
      </w:r>
      <w:proofErr w:type="spellStart"/>
      <w:r w:rsidRPr="00252C3D">
        <w:rPr>
          <w:rFonts w:ascii="Times New Roman" w:hAnsi="Times New Roman"/>
          <w:color w:val="000000" w:themeColor="text1"/>
          <w:sz w:val="24"/>
          <w:szCs w:val="24"/>
        </w:rPr>
        <w:t>đợt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ra</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công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chúng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trị</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giá</w:t>
      </w:r>
      <w:proofErr w:type="spellEnd"/>
      <w:r w:rsidRPr="00252C3D">
        <w:rPr>
          <w:rFonts w:ascii="Times New Roman" w:hAnsi="Times New Roman"/>
          <w:color w:val="000000" w:themeColor="text1"/>
          <w:sz w:val="24"/>
          <w:szCs w:val="24"/>
        </w:rPr>
        <w:t xml:space="preserve"> 800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trong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tháng</w:t>
      </w:r>
      <w:proofErr w:type="spellEnd"/>
      <w:r w:rsidRPr="00252C3D">
        <w:rPr>
          <w:rFonts w:ascii="Times New Roman" w:hAnsi="Times New Roman"/>
          <w:color w:val="000000" w:themeColor="text1"/>
          <w:sz w:val="24"/>
          <w:szCs w:val="24"/>
        </w:rPr>
        <w:t xml:space="preserve"> 12/2024. </w:t>
      </w:r>
      <w:proofErr w:type="spellStart"/>
      <w:r w:rsidRPr="00252C3D">
        <w:rPr>
          <w:rFonts w:ascii="Times New Roman" w:hAnsi="Times New Roman"/>
          <w:color w:val="000000" w:themeColor="text1"/>
          <w:sz w:val="24"/>
          <w:szCs w:val="24"/>
        </w:rPr>
        <w:t>Tính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cả</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năm</w:t>
      </w:r>
      <w:proofErr w:type="spellEnd"/>
      <w:r w:rsidRPr="00252C3D">
        <w:rPr>
          <w:rFonts w:ascii="Times New Roman" w:hAnsi="Times New Roman"/>
          <w:color w:val="000000" w:themeColor="text1"/>
          <w:sz w:val="24"/>
          <w:szCs w:val="24"/>
        </w:rPr>
        <w:t xml:space="preserve"> 2024, </w:t>
      </w:r>
      <w:proofErr w:type="spellStart"/>
      <w:r w:rsidRPr="00252C3D">
        <w:rPr>
          <w:rFonts w:ascii="Times New Roman" w:hAnsi="Times New Roman"/>
          <w:color w:val="000000" w:themeColor="text1"/>
          <w:sz w:val="24"/>
          <w:szCs w:val="24"/>
        </w:rPr>
        <w:t>có</w:t>
      </w:r>
      <w:proofErr w:type="spellEnd"/>
      <w:r w:rsidRPr="00252C3D">
        <w:rPr>
          <w:rFonts w:ascii="Times New Roman" w:hAnsi="Times New Roman"/>
          <w:color w:val="000000" w:themeColor="text1"/>
          <w:sz w:val="24"/>
          <w:szCs w:val="24"/>
        </w:rPr>
        <w:t xml:space="preserve"> 429 </w:t>
      </w:r>
      <w:proofErr w:type="spellStart"/>
      <w:r w:rsidRPr="00252C3D">
        <w:rPr>
          <w:rFonts w:ascii="Times New Roman" w:hAnsi="Times New Roman"/>
          <w:color w:val="000000" w:themeColor="text1"/>
          <w:sz w:val="24"/>
          <w:szCs w:val="24"/>
        </w:rPr>
        <w:t>đợt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riêng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lẻ</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trị</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giá</w:t>
      </w:r>
      <w:proofErr w:type="spellEnd"/>
      <w:r w:rsidRPr="00252C3D">
        <w:rPr>
          <w:rFonts w:ascii="Times New Roman" w:hAnsi="Times New Roman"/>
          <w:color w:val="000000" w:themeColor="text1"/>
          <w:sz w:val="24"/>
          <w:szCs w:val="24"/>
        </w:rPr>
        <w:t xml:space="preserve"> 410,544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và</w:t>
      </w:r>
      <w:proofErr w:type="spellEnd"/>
      <w:r w:rsidRPr="00252C3D">
        <w:rPr>
          <w:rFonts w:ascii="Times New Roman" w:hAnsi="Times New Roman"/>
          <w:color w:val="000000" w:themeColor="text1"/>
          <w:sz w:val="24"/>
          <w:szCs w:val="24"/>
        </w:rPr>
        <w:t xml:space="preserve"> 22 </w:t>
      </w:r>
      <w:proofErr w:type="spellStart"/>
      <w:r w:rsidRPr="00252C3D">
        <w:rPr>
          <w:rFonts w:ascii="Times New Roman" w:hAnsi="Times New Roman"/>
          <w:color w:val="000000" w:themeColor="text1"/>
          <w:sz w:val="24"/>
          <w:szCs w:val="24"/>
        </w:rPr>
        <w:t>đợt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phát</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hành</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ra</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công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chúng</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trị</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giá</w:t>
      </w:r>
      <w:proofErr w:type="spellEnd"/>
      <w:r w:rsidRPr="00252C3D">
        <w:rPr>
          <w:rFonts w:ascii="Times New Roman" w:hAnsi="Times New Roman"/>
          <w:color w:val="000000" w:themeColor="text1"/>
          <w:sz w:val="24"/>
          <w:szCs w:val="24"/>
        </w:rPr>
        <w:t xml:space="preserve"> 32,914 </w:t>
      </w:r>
      <w:proofErr w:type="spellStart"/>
      <w:r w:rsidRPr="00252C3D">
        <w:rPr>
          <w:rFonts w:ascii="Times New Roman" w:hAnsi="Times New Roman"/>
          <w:color w:val="000000" w:themeColor="text1"/>
          <w:sz w:val="24"/>
          <w:szCs w:val="24"/>
        </w:rPr>
        <w:t>tỷ</w:t>
      </w:r>
      <w:proofErr w:type="spellEnd"/>
      <w:r w:rsidRPr="00252C3D">
        <w:rPr>
          <w:rFonts w:ascii="Times New Roman" w:hAnsi="Times New Roman"/>
          <w:color w:val="000000" w:themeColor="text1"/>
          <w:sz w:val="24"/>
          <w:szCs w:val="24"/>
        </w:rPr>
        <w:t xml:space="preserve"> </w:t>
      </w:r>
      <w:proofErr w:type="spellStart"/>
      <w:r w:rsidRPr="00252C3D">
        <w:rPr>
          <w:rFonts w:ascii="Times New Roman" w:hAnsi="Times New Roman"/>
          <w:color w:val="000000" w:themeColor="text1"/>
          <w:sz w:val="24"/>
          <w:szCs w:val="24"/>
        </w:rPr>
        <w:t>đồng</w:t>
      </w:r>
      <w:proofErr w:type="spellEnd"/>
      <w:r w:rsidRPr="00252C3D">
        <w:rPr>
          <w:rFonts w:ascii="Times New Roman" w:hAnsi="Times New Roman"/>
          <w:color w:val="000000" w:themeColor="text1"/>
          <w:sz w:val="24"/>
          <w:szCs w:val="24"/>
        </w:rPr>
        <w:t>. (</w:t>
      </w:r>
      <w:proofErr w:type="spellStart"/>
      <w:r w:rsidRPr="00252C3D">
        <w:rPr>
          <w:rFonts w:ascii="Times New Roman" w:hAnsi="Times New Roman"/>
          <w:color w:val="000000" w:themeColor="text1"/>
          <w:sz w:val="24"/>
          <w:szCs w:val="24"/>
        </w:rPr>
        <w:t>Nguồn</w:t>
      </w:r>
      <w:proofErr w:type="spellEnd"/>
      <w:r w:rsidRPr="00252C3D">
        <w:rPr>
          <w:rFonts w:ascii="Times New Roman" w:hAnsi="Times New Roman"/>
          <w:color w:val="000000" w:themeColor="text1"/>
          <w:sz w:val="24"/>
          <w:szCs w:val="24"/>
        </w:rPr>
        <w:t>: VBMA)</w:t>
      </w:r>
    </w:p>
    <w:p w14:paraId="3BBC6F42" w14:textId="77777777" w:rsidR="00122962" w:rsidRDefault="00122962" w:rsidP="00122962">
      <w:pPr>
        <w:shd w:val="clear" w:color="auto" w:fill="FFFFFF"/>
        <w:tabs>
          <w:tab w:val="left" w:pos="540"/>
        </w:tabs>
        <w:spacing w:before="120" w:after="0" w:line="240" w:lineRule="auto"/>
        <w:jc w:val="both"/>
        <w:rPr>
          <w:rFonts w:ascii="Times New Roman" w:hAnsi="Times New Roman"/>
          <w:sz w:val="24"/>
          <w:szCs w:val="24"/>
        </w:rPr>
      </w:pPr>
      <w:proofErr w:type="spellStart"/>
      <w:r w:rsidRPr="00D026C8">
        <w:rPr>
          <w:rFonts w:ascii="Times New Roman" w:hAnsi="Times New Roman"/>
          <w:sz w:val="24"/>
          <w:szCs w:val="24"/>
        </w:rPr>
        <w:t>Nhìn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chung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quý</w:t>
      </w:r>
      <w:proofErr w:type="spellEnd"/>
      <w:r w:rsidRPr="00D026C8">
        <w:rPr>
          <w:rFonts w:ascii="Times New Roman" w:hAnsi="Times New Roman"/>
          <w:sz w:val="24"/>
          <w:szCs w:val="24"/>
        </w:rPr>
        <w:t xml:space="preserve"> 4/2024, </w:t>
      </w:r>
      <w:proofErr w:type="spellStart"/>
      <w:r w:rsidRPr="00D026C8">
        <w:rPr>
          <w:rFonts w:ascii="Times New Roman" w:hAnsi="Times New Roman"/>
          <w:sz w:val="24"/>
          <w:szCs w:val="24"/>
        </w:rPr>
        <w:t>kinh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tế</w:t>
      </w:r>
      <w:proofErr w:type="spellEnd"/>
      <w:r w:rsidRPr="00D026C8">
        <w:rPr>
          <w:rFonts w:ascii="Times New Roman" w:hAnsi="Times New Roman"/>
          <w:sz w:val="24"/>
          <w:szCs w:val="24"/>
        </w:rPr>
        <w:t xml:space="preserve"> Việt Nam </w:t>
      </w:r>
      <w:proofErr w:type="spellStart"/>
      <w:r w:rsidRPr="00D026C8">
        <w:rPr>
          <w:rFonts w:ascii="Times New Roman" w:hAnsi="Times New Roman"/>
          <w:sz w:val="24"/>
          <w:szCs w:val="24"/>
        </w:rPr>
        <w:t>có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sự</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phục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hồi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tăng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trưởng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tích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đặc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biệt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lĩnh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ngoại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thương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đầu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tư</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trực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tiếp</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ngoài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Bên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cạnh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đó</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các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rủi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ro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về</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lạm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phát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gần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như</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được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bỏ</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mặc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dù</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vậy</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rủi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ro</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lớn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nhất</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là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tỷ</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giá</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đã</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khiến</w:t>
      </w:r>
      <w:proofErr w:type="spellEnd"/>
      <w:r w:rsidRPr="00D026C8">
        <w:rPr>
          <w:rFonts w:ascii="Times New Roman" w:hAnsi="Times New Roman"/>
          <w:sz w:val="24"/>
          <w:szCs w:val="24"/>
        </w:rPr>
        <w:t xml:space="preserve"> Ngân </w:t>
      </w:r>
      <w:proofErr w:type="spellStart"/>
      <w:r w:rsidRPr="00D026C8">
        <w:rPr>
          <w:rFonts w:ascii="Times New Roman" w:hAnsi="Times New Roman"/>
          <w:sz w:val="24"/>
          <w:szCs w:val="24"/>
        </w:rPr>
        <w:t>hàng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nhà</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nước</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thận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trọng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hơn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trong</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điều</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hành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chính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sách</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tiền</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tệ</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thời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điểm</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cuối</w:t>
      </w:r>
      <w:proofErr w:type="spellEnd"/>
      <w:r w:rsidRPr="00D026C8">
        <w:rPr>
          <w:rFonts w:ascii="Times New Roman" w:hAnsi="Times New Roman"/>
          <w:sz w:val="24"/>
          <w:szCs w:val="24"/>
        </w:rPr>
        <w:t xml:space="preserve"> </w:t>
      </w:r>
      <w:proofErr w:type="spellStart"/>
      <w:r w:rsidRPr="00D026C8">
        <w:rPr>
          <w:rFonts w:ascii="Times New Roman" w:hAnsi="Times New Roman"/>
          <w:sz w:val="24"/>
          <w:szCs w:val="24"/>
        </w:rPr>
        <w:t>năm</w:t>
      </w:r>
      <w:proofErr w:type="spellEnd"/>
      <w:r w:rsidRPr="005541F7">
        <w:rPr>
          <w:rFonts w:ascii="Times New Roman" w:hAnsi="Times New Roman"/>
          <w:sz w:val="24"/>
          <w:szCs w:val="24"/>
        </w:rPr>
        <w:t>.</w:t>
      </w:r>
    </w:p>
    <w:p w14:paraId="225DE2C2" w14:textId="77777777" w:rsidR="009C75C6" w:rsidRDefault="009C75C6" w:rsidP="009C75C6">
      <w:pPr>
        <w:shd w:val="clear" w:color="auto" w:fill="FFFFFF"/>
        <w:tabs>
          <w:tab w:val="left" w:pos="540"/>
        </w:tabs>
        <w:spacing w:before="120" w:after="0" w:line="240" w:lineRule="auto"/>
        <w:jc w:val="both"/>
        <w:rPr>
          <w:rFonts w:ascii="Times New Roman" w:hAnsi="Times New Roman"/>
          <w:color w:val="000000" w:themeColor="text1"/>
          <w:sz w:val="24"/>
          <w:szCs w:val="24"/>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761EF8">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917147" w:rsidRPr="00A90AB7" w14:paraId="40D99AF5" w14:textId="77777777" w:rsidTr="00C119BD">
        <w:tc>
          <w:tcPr>
            <w:tcW w:w="1875" w:type="pct"/>
            <w:shd w:val="clear" w:color="auto" w:fill="auto"/>
            <w:vAlign w:val="center"/>
          </w:tcPr>
          <w:p w14:paraId="57EEC12D"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7D75CEE2"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2B8EB7C1"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D2C2023"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917147" w:rsidRPr="00A90AB7" w14:paraId="6FBBB033" w14:textId="77777777" w:rsidTr="00C119BD">
        <w:tc>
          <w:tcPr>
            <w:tcW w:w="1875" w:type="pct"/>
            <w:shd w:val="clear" w:color="auto" w:fill="auto"/>
            <w:vAlign w:val="center"/>
          </w:tcPr>
          <w:p w14:paraId="771A8457"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4F53E78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60E7066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19EE8D9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17147" w:rsidRPr="00A90AB7" w14:paraId="5053CB80" w14:textId="77777777" w:rsidTr="00C119BD">
        <w:tc>
          <w:tcPr>
            <w:tcW w:w="1875" w:type="pct"/>
            <w:shd w:val="clear" w:color="auto" w:fill="auto"/>
            <w:vAlign w:val="center"/>
          </w:tcPr>
          <w:p w14:paraId="0E639183"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1CD2012B"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F839966"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36A0C28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917147" w:rsidRPr="00A90AB7" w14:paraId="626AA38A" w14:textId="77777777" w:rsidTr="00C119BD">
        <w:tc>
          <w:tcPr>
            <w:tcW w:w="1875" w:type="pct"/>
            <w:shd w:val="clear" w:color="auto" w:fill="auto"/>
            <w:vAlign w:val="center"/>
          </w:tcPr>
          <w:p w14:paraId="39B2BD2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90F37DE"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77DF0A0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42917CB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16322" w:rsidRPr="00A90AB7" w14:paraId="64FDB193" w14:textId="77777777" w:rsidTr="00116322">
        <w:tc>
          <w:tcPr>
            <w:tcW w:w="1875" w:type="pct"/>
            <w:shd w:val="clear" w:color="auto" w:fill="auto"/>
            <w:vAlign w:val="center"/>
          </w:tcPr>
          <w:p w14:paraId="3010D946" w14:textId="77777777" w:rsidR="00116322" w:rsidRPr="00A90AB7"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116C1ABD" w14:textId="74BD80C0" w:rsidR="00116322" w:rsidRPr="00A90AB7" w:rsidRDefault="00116322" w:rsidP="00116322">
            <w:pPr>
              <w:tabs>
                <w:tab w:val="left" w:pos="540"/>
              </w:tabs>
              <w:spacing w:after="0" w:line="240" w:lineRule="auto"/>
              <w:ind w:right="58"/>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21</w:t>
            </w:r>
          </w:p>
        </w:tc>
        <w:tc>
          <w:tcPr>
            <w:tcW w:w="1024" w:type="pct"/>
            <w:shd w:val="clear" w:color="auto" w:fill="auto"/>
            <w:vAlign w:val="center"/>
          </w:tcPr>
          <w:p w14:paraId="7B4A82FF" w14:textId="3D21D099" w:rsidR="00116322" w:rsidRPr="00A90AB7" w:rsidRDefault="00116322" w:rsidP="00116322">
            <w:pPr>
              <w:tabs>
                <w:tab w:val="left" w:pos="540"/>
              </w:tabs>
              <w:spacing w:after="0" w:line="240" w:lineRule="auto"/>
              <w:ind w:left="58" w:right="58"/>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56</w:t>
            </w:r>
          </w:p>
        </w:tc>
        <w:tc>
          <w:tcPr>
            <w:tcW w:w="1127" w:type="pct"/>
            <w:shd w:val="clear" w:color="auto" w:fill="auto"/>
            <w:vAlign w:val="center"/>
          </w:tcPr>
          <w:p w14:paraId="749075A2" w14:textId="6B38CD9F" w:rsidR="00116322" w:rsidRPr="00A90AB7" w:rsidRDefault="00116322" w:rsidP="00116322">
            <w:pPr>
              <w:tabs>
                <w:tab w:val="left" w:pos="540"/>
              </w:tabs>
              <w:spacing w:after="0" w:line="240" w:lineRule="auto"/>
              <w:ind w:left="58" w:right="58"/>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78</w:t>
            </w:r>
          </w:p>
        </w:tc>
      </w:tr>
      <w:tr w:rsidR="00116322" w:rsidRPr="00A90AB7" w14:paraId="4E13B52F" w14:textId="77777777" w:rsidTr="00116322">
        <w:tc>
          <w:tcPr>
            <w:tcW w:w="1875" w:type="pct"/>
            <w:shd w:val="clear" w:color="auto" w:fill="auto"/>
            <w:vAlign w:val="center"/>
          </w:tcPr>
          <w:p w14:paraId="739239A1" w14:textId="77777777" w:rsidR="00116322" w:rsidRPr="00A90AB7" w:rsidRDefault="00116322" w:rsidP="0011632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4BB9BE8A" w14:textId="7F2464ED" w:rsidR="00116322" w:rsidRPr="00A90AB7" w:rsidRDefault="00116322" w:rsidP="00116322">
            <w:pPr>
              <w:tabs>
                <w:tab w:val="left" w:pos="540"/>
              </w:tabs>
              <w:spacing w:after="0" w:line="240" w:lineRule="auto"/>
              <w:ind w:left="58" w:right="58"/>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21</w:t>
            </w:r>
          </w:p>
        </w:tc>
        <w:tc>
          <w:tcPr>
            <w:tcW w:w="1024" w:type="pct"/>
            <w:shd w:val="clear" w:color="auto" w:fill="auto"/>
            <w:vAlign w:val="center"/>
          </w:tcPr>
          <w:p w14:paraId="2FCF8116" w14:textId="7DED45C0" w:rsidR="00116322" w:rsidRPr="00A90AB7" w:rsidRDefault="00116322" w:rsidP="00116322">
            <w:pPr>
              <w:tabs>
                <w:tab w:val="left" w:pos="540"/>
              </w:tabs>
              <w:spacing w:after="0" w:line="240" w:lineRule="auto"/>
              <w:ind w:left="58" w:right="58"/>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02</w:t>
            </w:r>
          </w:p>
        </w:tc>
        <w:tc>
          <w:tcPr>
            <w:tcW w:w="1127" w:type="pct"/>
            <w:shd w:val="clear" w:color="auto" w:fill="auto"/>
            <w:vAlign w:val="center"/>
          </w:tcPr>
          <w:p w14:paraId="4697F15F" w14:textId="305CDD0B" w:rsidR="00116322" w:rsidRPr="00A90AB7" w:rsidRDefault="00116322" w:rsidP="00116322">
            <w:pPr>
              <w:tabs>
                <w:tab w:val="left" w:pos="540"/>
              </w:tabs>
              <w:spacing w:after="0" w:line="240" w:lineRule="auto"/>
              <w:ind w:left="58" w:right="58"/>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36</w:t>
            </w:r>
          </w:p>
        </w:tc>
      </w:tr>
      <w:tr w:rsidR="00917147" w:rsidRPr="00A90AB7" w14:paraId="41BE7B0F" w14:textId="77777777" w:rsidTr="00C119BD">
        <w:tc>
          <w:tcPr>
            <w:tcW w:w="1875" w:type="pct"/>
            <w:shd w:val="clear" w:color="auto" w:fill="auto"/>
            <w:vAlign w:val="center"/>
          </w:tcPr>
          <w:p w14:paraId="651AA69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4A75B28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204E4C9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76DE1AF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917147" w:rsidRPr="00A90AB7" w14:paraId="4BEC7836" w14:textId="77777777" w:rsidTr="00C119BD">
        <w:tc>
          <w:tcPr>
            <w:tcW w:w="1875" w:type="pct"/>
            <w:shd w:val="clear" w:color="auto" w:fill="auto"/>
            <w:vAlign w:val="center"/>
          </w:tcPr>
          <w:p w14:paraId="4383C0CC"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30881D7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70E013E8"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5F68A0C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49CC96DE" w14:textId="77777777" w:rsidR="00917147" w:rsidRPr="0099238D" w:rsidRDefault="00917147" w:rsidP="00917147">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lastRenderedPageBreak/>
        <w:t>(*)</w:t>
      </w:r>
      <w:r w:rsidRPr="0099238D">
        <w:rPr>
          <w:rFonts w:ascii="Times New Roman" w:hAnsi="Times New Roman"/>
          <w:sz w:val="24"/>
          <w:szCs w:val="24"/>
          <w:lang w:val="nl-NL"/>
        </w:rPr>
        <w:tab/>
        <w:t>Quỹ không có danh mục cơ cấu.</w:t>
      </w:r>
    </w:p>
    <w:p w14:paraId="48C4A807" w14:textId="77777777" w:rsidR="00917147" w:rsidRDefault="00917147" w:rsidP="0091714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r>
      <w:r w:rsidRPr="00162951">
        <w:rPr>
          <w:rFonts w:ascii="Times New Roman" w:hAnsi="Times New Roman"/>
          <w:sz w:val="24"/>
          <w:szCs w:val="24"/>
          <w:lang w:val="nl-NL"/>
        </w:rPr>
        <w:t>Quỹ không có giá trị thị trường.</w:t>
      </w:r>
    </w:p>
    <w:p w14:paraId="24E34861" w14:textId="455E6967" w:rsidR="00DF533C" w:rsidRPr="001C531F" w:rsidRDefault="00EF4FDB" w:rsidP="0099238D">
      <w:pPr>
        <w:shd w:val="clear" w:color="auto" w:fill="FFFFFF"/>
        <w:tabs>
          <w:tab w:val="left" w:pos="540"/>
        </w:tabs>
        <w:spacing w:before="120" w:after="0" w:line="360" w:lineRule="auto"/>
        <w:rPr>
          <w:noProof/>
        </w:rPr>
      </w:pPr>
      <w:r>
        <w:rPr>
          <w:noProof/>
        </w:rPr>
        <w:drawing>
          <wp:inline distT="0" distB="0" distL="0" distR="0" wp14:anchorId="51FE6890" wp14:editId="6C37A8EF">
            <wp:extent cx="5943600" cy="3899535"/>
            <wp:effectExtent l="0" t="0" r="0" b="5715"/>
            <wp:docPr id="1697547424" name="Chart 1">
              <a:extLst xmlns:a="http://schemas.openxmlformats.org/drawingml/2006/main">
                <a:ext uri="{FF2B5EF4-FFF2-40B4-BE49-F238E27FC236}">
                  <a16:creationId xmlns:a16="http://schemas.microsoft.com/office/drawing/2014/main" id="{776748CC-7968-EAC9-BD2D-4B3A1D03C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3" w:name="_Hlk99810626"/>
      <w:r w:rsidRPr="00162951">
        <w:rPr>
          <w:rFonts w:ascii="Times New Roman" w:hAnsi="Times New Roman"/>
          <w:sz w:val="24"/>
          <w:szCs w:val="24"/>
          <w:lang w:val="nl-NL"/>
        </w:rPr>
        <w:t xml:space="preserve">● </w:t>
      </w:r>
      <w:bookmarkStart w:id="4" w:name="_Hlk99810659"/>
      <w:r w:rsidRPr="00162951">
        <w:rPr>
          <w:rFonts w:ascii="Times New Roman" w:hAnsi="Times New Roman"/>
          <w:sz w:val="24"/>
          <w:szCs w:val="24"/>
          <w:lang w:val="nl-NL"/>
        </w:rPr>
        <w:t xml:space="preserve">Thay đổi </w:t>
      </w:r>
      <w:r w:rsidR="00DF533C" w:rsidRPr="00162951">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2D0EDF" w:rsidRPr="001C531F" w14:paraId="51028592" w14:textId="77777777" w:rsidTr="0017714B">
        <w:tc>
          <w:tcPr>
            <w:tcW w:w="1777" w:type="pct"/>
            <w:shd w:val="clear" w:color="auto" w:fill="auto"/>
          </w:tcPr>
          <w:p w14:paraId="47AB5736" w14:textId="77777777" w:rsidR="002D0EDF" w:rsidRPr="001C531F" w:rsidRDefault="002D0EDF" w:rsidP="002D0EDF">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60CD2A42" w:rsidR="002D0EDF" w:rsidRPr="00FB6B11" w:rsidRDefault="002D0EDF" w:rsidP="002D0EDF">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Pr>
                <w:rFonts w:ascii="Times New Roman" w:eastAsia="Times New Roman" w:hAnsi="Times New Roman"/>
                <w:bCs/>
                <w:sz w:val="24"/>
                <w:szCs w:val="24"/>
                <w:lang w:val="nl-NL"/>
              </w:rPr>
              <w:t>12</w:t>
            </w:r>
            <w:r w:rsidRPr="00D20DF1">
              <w:rPr>
                <w:rFonts w:ascii="Times New Roman" w:eastAsia="Times New Roman" w:hAnsi="Times New Roman"/>
                <w:bCs/>
                <w:sz w:val="24"/>
                <w:szCs w:val="24"/>
                <w:lang w:val="nl-NL"/>
              </w:rPr>
              <w:t>/202</w:t>
            </w:r>
            <w:r>
              <w:rPr>
                <w:rFonts w:ascii="Times New Roman" w:eastAsia="Times New Roman" w:hAnsi="Times New Roman"/>
                <w:bCs/>
                <w:sz w:val="24"/>
                <w:szCs w:val="24"/>
                <w:lang w:val="nl-NL"/>
              </w:rPr>
              <w:t>4</w:t>
            </w:r>
          </w:p>
        </w:tc>
        <w:tc>
          <w:tcPr>
            <w:tcW w:w="1019" w:type="pct"/>
            <w:shd w:val="clear" w:color="auto" w:fill="auto"/>
            <w:vAlign w:val="center"/>
          </w:tcPr>
          <w:p w14:paraId="3D3C1F6A" w14:textId="25D63596" w:rsidR="002D0EDF" w:rsidRPr="00FB6B11" w:rsidRDefault="002D0EDF" w:rsidP="002D0EDF">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Pr>
                <w:rFonts w:ascii="Times New Roman" w:eastAsia="Times New Roman" w:hAnsi="Times New Roman"/>
                <w:bCs/>
                <w:sz w:val="24"/>
                <w:szCs w:val="24"/>
                <w:lang w:val="nl-NL"/>
              </w:rPr>
              <w:t>1</w:t>
            </w:r>
            <w:r w:rsidRPr="00D20DF1">
              <w:rPr>
                <w:rFonts w:ascii="Times New Roman" w:eastAsia="Times New Roman" w:hAnsi="Times New Roman"/>
                <w:bCs/>
                <w:sz w:val="24"/>
                <w:szCs w:val="24"/>
                <w:lang w:val="nl-NL"/>
              </w:rPr>
              <w:t>/</w:t>
            </w:r>
            <w:r>
              <w:rPr>
                <w:rFonts w:ascii="Times New Roman" w:eastAsia="Times New Roman" w:hAnsi="Times New Roman"/>
                <w:bCs/>
                <w:sz w:val="24"/>
                <w:szCs w:val="24"/>
                <w:lang w:val="nl-NL"/>
              </w:rPr>
              <w:t>12</w:t>
            </w:r>
            <w:r w:rsidRPr="00D20DF1">
              <w:rPr>
                <w:rFonts w:ascii="Times New Roman" w:eastAsia="Times New Roman" w:hAnsi="Times New Roman"/>
                <w:bCs/>
                <w:sz w:val="24"/>
                <w:szCs w:val="24"/>
                <w:lang w:val="nl-NL"/>
              </w:rPr>
              <w:t>/202</w:t>
            </w:r>
            <w:r>
              <w:rPr>
                <w:rFonts w:ascii="Times New Roman" w:eastAsia="Times New Roman" w:hAnsi="Times New Roman"/>
                <w:bCs/>
                <w:sz w:val="24"/>
                <w:szCs w:val="24"/>
                <w:lang w:val="nl-NL"/>
              </w:rPr>
              <w:t>3</w:t>
            </w:r>
          </w:p>
        </w:tc>
        <w:tc>
          <w:tcPr>
            <w:tcW w:w="1189" w:type="pct"/>
            <w:shd w:val="clear" w:color="auto" w:fill="auto"/>
          </w:tcPr>
          <w:p w14:paraId="468E027E" w14:textId="3B5E4B0C" w:rsidR="002D0EDF" w:rsidRPr="001C531F" w:rsidRDefault="002D0EDF" w:rsidP="002D0EDF">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Pr>
                <w:rFonts w:ascii="Times New Roman" w:eastAsia="Times New Roman" w:hAnsi="Times New Roman"/>
                <w:sz w:val="24"/>
                <w:szCs w:val="24"/>
                <w:lang w:val="nl-NL"/>
              </w:rPr>
              <w:t xml:space="preserve"> (%)</w:t>
            </w:r>
          </w:p>
        </w:tc>
      </w:tr>
      <w:tr w:rsidR="00116322" w:rsidRPr="001C531F" w14:paraId="20DB74E9" w14:textId="77777777" w:rsidTr="00E158DE">
        <w:tc>
          <w:tcPr>
            <w:tcW w:w="1777" w:type="pct"/>
            <w:shd w:val="clear" w:color="auto" w:fill="auto"/>
          </w:tcPr>
          <w:p w14:paraId="3374F58E" w14:textId="57EE66DF" w:rsidR="00116322" w:rsidRPr="001C531F" w:rsidRDefault="00116322" w:rsidP="00116322">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0AE88048" w:rsidR="00116322" w:rsidRPr="001C531F"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75.950.396.455 </w:t>
            </w:r>
          </w:p>
        </w:tc>
        <w:tc>
          <w:tcPr>
            <w:tcW w:w="1019" w:type="pct"/>
            <w:shd w:val="clear" w:color="auto" w:fill="auto"/>
          </w:tcPr>
          <w:p w14:paraId="0DF9D0FE" w14:textId="53B00821" w:rsidR="00116322" w:rsidRPr="000E0AED"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68.877.011.888 </w:t>
            </w:r>
          </w:p>
        </w:tc>
        <w:tc>
          <w:tcPr>
            <w:tcW w:w="1189" w:type="pct"/>
            <w:shd w:val="clear" w:color="auto" w:fill="auto"/>
          </w:tcPr>
          <w:p w14:paraId="43D36BCD" w14:textId="1F3FC9BF" w:rsidR="00116322" w:rsidRPr="001C531F"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10,27</w:t>
            </w:r>
          </w:p>
        </w:tc>
      </w:tr>
      <w:tr w:rsidR="00116322" w:rsidRPr="001C531F" w14:paraId="57472793" w14:textId="77777777" w:rsidTr="00E158DE">
        <w:tc>
          <w:tcPr>
            <w:tcW w:w="1777" w:type="pct"/>
            <w:shd w:val="clear" w:color="auto" w:fill="auto"/>
          </w:tcPr>
          <w:p w14:paraId="1E20D587" w14:textId="2FFBFD26" w:rsidR="00116322" w:rsidRPr="001C531F" w:rsidRDefault="00116322" w:rsidP="00116322">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670187B8" w:rsidR="00116322" w:rsidRPr="001C531F"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378</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07   </w:t>
            </w:r>
          </w:p>
        </w:tc>
        <w:tc>
          <w:tcPr>
            <w:tcW w:w="1019" w:type="pct"/>
            <w:shd w:val="clear" w:color="auto" w:fill="auto"/>
          </w:tcPr>
          <w:p w14:paraId="2E3BFBE6" w14:textId="532E29A6" w:rsidR="00116322" w:rsidRPr="000E0AED"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024</w:t>
            </w:r>
            <w:r>
              <w:rPr>
                <w:rFonts w:ascii="Times New Roman" w:eastAsia="Times New Roman" w:hAnsi="Times New Roman"/>
                <w:sz w:val="24"/>
                <w:szCs w:val="24"/>
                <w:lang w:val="nl-NL"/>
              </w:rPr>
              <w:t>,</w:t>
            </w:r>
            <w:r w:rsidRPr="00116322">
              <w:rPr>
                <w:rFonts w:ascii="Times New Roman" w:eastAsia="Times New Roman" w:hAnsi="Times New Roman"/>
                <w:sz w:val="24"/>
                <w:szCs w:val="24"/>
                <w:lang w:val="nl-NL"/>
              </w:rPr>
              <w:t xml:space="preserve">66   </w:t>
            </w:r>
          </w:p>
        </w:tc>
        <w:tc>
          <w:tcPr>
            <w:tcW w:w="1189" w:type="pct"/>
            <w:shd w:val="clear" w:color="auto" w:fill="auto"/>
          </w:tcPr>
          <w:p w14:paraId="4E3B62B9" w14:textId="3509F19C" w:rsidR="00116322" w:rsidRPr="001C531F" w:rsidRDefault="00116322" w:rsidP="00116322">
            <w:pPr>
              <w:tabs>
                <w:tab w:val="left" w:pos="540"/>
              </w:tabs>
              <w:spacing w:before="120" w:after="0" w:line="240" w:lineRule="auto"/>
              <w:jc w:val="center"/>
              <w:rPr>
                <w:rFonts w:ascii="Times New Roman" w:eastAsia="Times New Roman" w:hAnsi="Times New Roman"/>
                <w:sz w:val="24"/>
                <w:szCs w:val="24"/>
                <w:lang w:val="nl-NL"/>
              </w:rPr>
            </w:pPr>
            <w:r w:rsidRPr="00116322">
              <w:rPr>
                <w:rFonts w:ascii="Times New Roman" w:eastAsia="Times New Roman" w:hAnsi="Times New Roman"/>
                <w:sz w:val="24"/>
                <w:szCs w:val="24"/>
                <w:lang w:val="nl-NL"/>
              </w:rPr>
              <w:t>3,21</w:t>
            </w:r>
          </w:p>
        </w:tc>
      </w:tr>
      <w:bookmarkEnd w:id="3"/>
      <w:bookmarkEnd w:id="4"/>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62951">
        <w:rPr>
          <w:rFonts w:ascii="Times New Roman" w:hAnsi="Times New Roman"/>
          <w:b/>
          <w:sz w:val="24"/>
          <w:szCs w:val="24"/>
          <w:lang w:val="nl-NL"/>
        </w:rPr>
        <w:t xml:space="preserve">4.2. Thống kê về Nhà đầu tư nắm giữ Chứng chỉ </w:t>
      </w:r>
      <w:r w:rsidR="008F2B2D" w:rsidRPr="00162951">
        <w:rPr>
          <w:rFonts w:ascii="Times New Roman" w:hAnsi="Times New Roman"/>
          <w:b/>
          <w:sz w:val="24"/>
          <w:szCs w:val="24"/>
          <w:lang w:val="nl-NL"/>
        </w:rPr>
        <w:t>Q</w:t>
      </w:r>
      <w:r w:rsidRPr="00162951">
        <w:rPr>
          <w:rFonts w:ascii="Times New Roman" w:hAnsi="Times New Roman"/>
          <w:b/>
          <w:sz w:val="24"/>
          <w:szCs w:val="24"/>
          <w:lang w:val="nl-NL"/>
        </w:rPr>
        <w:t>uỹ tại thời điểm báo cáo</w:t>
      </w:r>
      <w:r w:rsidR="005C0B11" w:rsidRPr="00162951">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1C531F" w14:paraId="3BCC7EEC" w14:textId="77777777" w:rsidTr="009C75C6">
        <w:trPr>
          <w:trHeight w:val="525"/>
        </w:trPr>
        <w:tc>
          <w:tcPr>
            <w:tcW w:w="2967" w:type="dxa"/>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122962" w:rsidRPr="001C531F" w14:paraId="5AC8833F" w14:textId="77777777" w:rsidTr="009C75C6">
        <w:trPr>
          <w:trHeight w:val="315"/>
        </w:trPr>
        <w:tc>
          <w:tcPr>
            <w:tcW w:w="2967" w:type="dxa"/>
            <w:shd w:val="clear" w:color="auto" w:fill="auto"/>
            <w:hideMark/>
          </w:tcPr>
          <w:p w14:paraId="33BF8D42" w14:textId="7F9C07ED" w:rsidR="00122962" w:rsidRPr="001C531F" w:rsidRDefault="00122962" w:rsidP="0012296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shd w:val="clear" w:color="auto" w:fill="auto"/>
          </w:tcPr>
          <w:p w14:paraId="569AE133" w14:textId="2E638C9E"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2</w:t>
            </w:r>
            <w:r>
              <w:rPr>
                <w:rFonts w:ascii="Times New Roman" w:hAnsi="Times New Roman"/>
                <w:sz w:val="24"/>
                <w:szCs w:val="24"/>
              </w:rPr>
              <w:t>.</w:t>
            </w:r>
            <w:r w:rsidRPr="00321CBB">
              <w:rPr>
                <w:rFonts w:ascii="Times New Roman" w:hAnsi="Times New Roman"/>
                <w:sz w:val="24"/>
                <w:szCs w:val="24"/>
              </w:rPr>
              <w:t>668</w:t>
            </w:r>
          </w:p>
        </w:tc>
        <w:tc>
          <w:tcPr>
            <w:tcW w:w="2692" w:type="dxa"/>
            <w:shd w:val="clear" w:color="auto" w:fill="auto"/>
          </w:tcPr>
          <w:p w14:paraId="0EBE36E9" w14:textId="3B77E01E"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497</w:t>
            </w:r>
            <w:r>
              <w:rPr>
                <w:rFonts w:ascii="Times New Roman" w:hAnsi="Times New Roman"/>
                <w:sz w:val="24"/>
                <w:szCs w:val="24"/>
              </w:rPr>
              <w:t>.</w:t>
            </w:r>
            <w:r w:rsidRPr="00321CBB">
              <w:rPr>
                <w:rFonts w:ascii="Times New Roman" w:hAnsi="Times New Roman"/>
                <w:sz w:val="24"/>
                <w:szCs w:val="24"/>
              </w:rPr>
              <w:t>023</w:t>
            </w:r>
            <w:r>
              <w:rPr>
                <w:rFonts w:ascii="Times New Roman" w:hAnsi="Times New Roman"/>
                <w:sz w:val="24"/>
                <w:szCs w:val="24"/>
              </w:rPr>
              <w:t>,</w:t>
            </w:r>
            <w:r w:rsidRPr="00321CBB">
              <w:rPr>
                <w:rFonts w:ascii="Times New Roman" w:hAnsi="Times New Roman"/>
                <w:sz w:val="24"/>
                <w:szCs w:val="24"/>
              </w:rPr>
              <w:t>23</w:t>
            </w:r>
          </w:p>
        </w:tc>
        <w:tc>
          <w:tcPr>
            <w:tcW w:w="1696" w:type="dxa"/>
            <w:shd w:val="clear" w:color="auto" w:fill="auto"/>
          </w:tcPr>
          <w:p w14:paraId="324D4E7B" w14:textId="00DDC3FB"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7</w:t>
            </w:r>
            <w:r>
              <w:rPr>
                <w:rFonts w:ascii="Times New Roman" w:hAnsi="Times New Roman"/>
                <w:sz w:val="24"/>
                <w:szCs w:val="24"/>
              </w:rPr>
              <w:t>,</w:t>
            </w:r>
            <w:r w:rsidRPr="00321CBB">
              <w:rPr>
                <w:rFonts w:ascii="Times New Roman" w:hAnsi="Times New Roman"/>
                <w:sz w:val="24"/>
                <w:szCs w:val="24"/>
              </w:rPr>
              <w:t>45</w:t>
            </w:r>
          </w:p>
        </w:tc>
      </w:tr>
      <w:tr w:rsidR="00122962" w:rsidRPr="001C531F" w14:paraId="112DFD1E" w14:textId="77777777" w:rsidTr="009C75C6">
        <w:trPr>
          <w:trHeight w:val="315"/>
        </w:trPr>
        <w:tc>
          <w:tcPr>
            <w:tcW w:w="2967" w:type="dxa"/>
            <w:shd w:val="clear" w:color="auto" w:fill="auto"/>
            <w:hideMark/>
          </w:tcPr>
          <w:p w14:paraId="595FFB6D" w14:textId="04AA5100" w:rsidR="00122962" w:rsidRPr="001C531F" w:rsidRDefault="00122962" w:rsidP="0012296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shd w:val="clear" w:color="auto" w:fill="auto"/>
          </w:tcPr>
          <w:p w14:paraId="523D61E2" w14:textId="56B428EF"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11</w:t>
            </w:r>
          </w:p>
        </w:tc>
        <w:tc>
          <w:tcPr>
            <w:tcW w:w="2692" w:type="dxa"/>
            <w:shd w:val="clear" w:color="auto" w:fill="auto"/>
          </w:tcPr>
          <w:p w14:paraId="17E0FA6A" w14:textId="58932DDE"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80</w:t>
            </w:r>
            <w:r>
              <w:rPr>
                <w:rFonts w:ascii="Times New Roman" w:hAnsi="Times New Roman"/>
                <w:sz w:val="24"/>
                <w:szCs w:val="24"/>
              </w:rPr>
              <w:t>.</w:t>
            </w:r>
            <w:r w:rsidRPr="00321CBB">
              <w:rPr>
                <w:rFonts w:ascii="Times New Roman" w:hAnsi="Times New Roman"/>
                <w:sz w:val="24"/>
                <w:szCs w:val="24"/>
              </w:rPr>
              <w:t>621</w:t>
            </w:r>
            <w:r>
              <w:rPr>
                <w:rFonts w:ascii="Times New Roman" w:hAnsi="Times New Roman"/>
                <w:sz w:val="24"/>
                <w:szCs w:val="24"/>
              </w:rPr>
              <w:t>,</w:t>
            </w:r>
            <w:r w:rsidRPr="00321CBB">
              <w:rPr>
                <w:rFonts w:ascii="Times New Roman" w:hAnsi="Times New Roman"/>
                <w:sz w:val="24"/>
                <w:szCs w:val="24"/>
              </w:rPr>
              <w:t>22</w:t>
            </w:r>
          </w:p>
        </w:tc>
        <w:tc>
          <w:tcPr>
            <w:tcW w:w="1696" w:type="dxa"/>
            <w:shd w:val="clear" w:color="auto" w:fill="auto"/>
          </w:tcPr>
          <w:p w14:paraId="2CF369C9" w14:textId="2153892C"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1</w:t>
            </w:r>
            <w:r>
              <w:rPr>
                <w:rFonts w:ascii="Times New Roman" w:hAnsi="Times New Roman"/>
                <w:sz w:val="24"/>
                <w:szCs w:val="24"/>
              </w:rPr>
              <w:t>,</w:t>
            </w:r>
            <w:r w:rsidRPr="00321CBB">
              <w:rPr>
                <w:rFonts w:ascii="Times New Roman" w:hAnsi="Times New Roman"/>
                <w:sz w:val="24"/>
                <w:szCs w:val="24"/>
              </w:rPr>
              <w:t>21</w:t>
            </w:r>
          </w:p>
        </w:tc>
      </w:tr>
      <w:tr w:rsidR="00122962" w:rsidRPr="001C531F" w14:paraId="33F2F3B6" w14:textId="77777777" w:rsidTr="009C75C6">
        <w:trPr>
          <w:trHeight w:val="315"/>
        </w:trPr>
        <w:tc>
          <w:tcPr>
            <w:tcW w:w="2967" w:type="dxa"/>
            <w:shd w:val="clear" w:color="auto" w:fill="auto"/>
            <w:hideMark/>
          </w:tcPr>
          <w:p w14:paraId="2C542B1C" w14:textId="78367192" w:rsidR="00122962" w:rsidRPr="001C531F" w:rsidRDefault="00122962" w:rsidP="0012296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shd w:val="clear" w:color="auto" w:fill="auto"/>
          </w:tcPr>
          <w:p w14:paraId="3406A864" w14:textId="1CC22990"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5</w:t>
            </w:r>
          </w:p>
        </w:tc>
        <w:tc>
          <w:tcPr>
            <w:tcW w:w="2692" w:type="dxa"/>
            <w:shd w:val="clear" w:color="auto" w:fill="auto"/>
          </w:tcPr>
          <w:p w14:paraId="7E76C849" w14:textId="5FC14537"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97</w:t>
            </w:r>
            <w:r>
              <w:rPr>
                <w:rFonts w:ascii="Times New Roman" w:hAnsi="Times New Roman"/>
                <w:sz w:val="24"/>
                <w:szCs w:val="24"/>
              </w:rPr>
              <w:t>.</w:t>
            </w:r>
            <w:r w:rsidRPr="00321CBB">
              <w:rPr>
                <w:rFonts w:ascii="Times New Roman" w:hAnsi="Times New Roman"/>
                <w:sz w:val="24"/>
                <w:szCs w:val="24"/>
              </w:rPr>
              <w:t>511</w:t>
            </w:r>
            <w:r>
              <w:rPr>
                <w:rFonts w:ascii="Times New Roman" w:hAnsi="Times New Roman"/>
                <w:sz w:val="24"/>
                <w:szCs w:val="24"/>
              </w:rPr>
              <w:t>,</w:t>
            </w:r>
            <w:r w:rsidRPr="00321CBB">
              <w:rPr>
                <w:rFonts w:ascii="Times New Roman" w:hAnsi="Times New Roman"/>
                <w:sz w:val="24"/>
                <w:szCs w:val="24"/>
              </w:rPr>
              <w:t>58</w:t>
            </w:r>
          </w:p>
        </w:tc>
        <w:tc>
          <w:tcPr>
            <w:tcW w:w="1696" w:type="dxa"/>
            <w:shd w:val="clear" w:color="auto" w:fill="auto"/>
          </w:tcPr>
          <w:p w14:paraId="2DEE8F0F" w14:textId="148928E6"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1</w:t>
            </w:r>
            <w:r>
              <w:rPr>
                <w:rFonts w:ascii="Times New Roman" w:hAnsi="Times New Roman"/>
                <w:sz w:val="24"/>
                <w:szCs w:val="24"/>
              </w:rPr>
              <w:t>,</w:t>
            </w:r>
            <w:r w:rsidRPr="00321CBB">
              <w:rPr>
                <w:rFonts w:ascii="Times New Roman" w:hAnsi="Times New Roman"/>
                <w:sz w:val="24"/>
                <w:szCs w:val="24"/>
              </w:rPr>
              <w:t>46</w:t>
            </w:r>
          </w:p>
        </w:tc>
      </w:tr>
      <w:tr w:rsidR="00122962" w:rsidRPr="001C531F" w14:paraId="656817C8" w14:textId="77777777" w:rsidTr="009C75C6">
        <w:trPr>
          <w:trHeight w:val="315"/>
        </w:trPr>
        <w:tc>
          <w:tcPr>
            <w:tcW w:w="2967" w:type="dxa"/>
            <w:shd w:val="clear" w:color="auto" w:fill="auto"/>
            <w:hideMark/>
          </w:tcPr>
          <w:p w14:paraId="606728F5" w14:textId="24EACA51" w:rsidR="00122962" w:rsidRPr="001C531F" w:rsidRDefault="00122962" w:rsidP="0012296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shd w:val="clear" w:color="auto" w:fill="auto"/>
          </w:tcPr>
          <w:p w14:paraId="709B3670" w14:textId="6CF2B1D4"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0</w:t>
            </w:r>
          </w:p>
        </w:tc>
        <w:tc>
          <w:tcPr>
            <w:tcW w:w="2692" w:type="dxa"/>
            <w:shd w:val="clear" w:color="auto" w:fill="auto"/>
          </w:tcPr>
          <w:p w14:paraId="0D84550F" w14:textId="359D0DA6"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0</w:t>
            </w:r>
            <w:r>
              <w:rPr>
                <w:rFonts w:ascii="Times New Roman" w:hAnsi="Times New Roman"/>
                <w:sz w:val="24"/>
                <w:szCs w:val="24"/>
              </w:rPr>
              <w:t>,</w:t>
            </w:r>
            <w:r w:rsidRPr="00321CBB">
              <w:rPr>
                <w:rFonts w:ascii="Times New Roman" w:hAnsi="Times New Roman"/>
                <w:sz w:val="24"/>
                <w:szCs w:val="24"/>
              </w:rPr>
              <w:t>00</w:t>
            </w:r>
          </w:p>
        </w:tc>
        <w:tc>
          <w:tcPr>
            <w:tcW w:w="1696" w:type="dxa"/>
            <w:shd w:val="clear" w:color="auto" w:fill="auto"/>
          </w:tcPr>
          <w:p w14:paraId="28BFE95B" w14:textId="6521680D" w:rsidR="00122962" w:rsidRPr="006F1519"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0</w:t>
            </w:r>
            <w:r>
              <w:rPr>
                <w:rFonts w:ascii="Times New Roman" w:hAnsi="Times New Roman"/>
                <w:sz w:val="24"/>
                <w:szCs w:val="24"/>
              </w:rPr>
              <w:t>,</w:t>
            </w:r>
            <w:r w:rsidRPr="00321CBB">
              <w:rPr>
                <w:rFonts w:ascii="Times New Roman" w:hAnsi="Times New Roman"/>
                <w:sz w:val="24"/>
                <w:szCs w:val="24"/>
              </w:rPr>
              <w:t>00</w:t>
            </w:r>
          </w:p>
        </w:tc>
      </w:tr>
      <w:tr w:rsidR="00122962" w:rsidRPr="001C531F" w14:paraId="7A11D66F" w14:textId="77777777" w:rsidTr="009C75C6">
        <w:trPr>
          <w:trHeight w:val="315"/>
        </w:trPr>
        <w:tc>
          <w:tcPr>
            <w:tcW w:w="2967" w:type="dxa"/>
            <w:shd w:val="clear" w:color="auto" w:fill="auto"/>
            <w:hideMark/>
          </w:tcPr>
          <w:p w14:paraId="656537AF" w14:textId="49CCCE83" w:rsidR="00122962" w:rsidRPr="001C531F" w:rsidRDefault="00122962" w:rsidP="00122962">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shd w:val="clear" w:color="auto" w:fill="auto"/>
          </w:tcPr>
          <w:p w14:paraId="77162138" w14:textId="4DA1B741" w:rsidR="00122962" w:rsidRPr="00EF622A"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1</w:t>
            </w:r>
          </w:p>
        </w:tc>
        <w:tc>
          <w:tcPr>
            <w:tcW w:w="2692" w:type="dxa"/>
            <w:shd w:val="clear" w:color="auto" w:fill="auto"/>
          </w:tcPr>
          <w:p w14:paraId="270549B9" w14:textId="50000E1B" w:rsidR="00122962" w:rsidRPr="00EF622A"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6</w:t>
            </w:r>
            <w:r>
              <w:rPr>
                <w:rFonts w:ascii="Times New Roman" w:hAnsi="Times New Roman"/>
                <w:sz w:val="24"/>
                <w:szCs w:val="24"/>
              </w:rPr>
              <w:t>.</w:t>
            </w:r>
            <w:r w:rsidRPr="00321CBB">
              <w:rPr>
                <w:rFonts w:ascii="Times New Roman" w:hAnsi="Times New Roman"/>
                <w:sz w:val="24"/>
                <w:szCs w:val="24"/>
              </w:rPr>
              <w:t>000</w:t>
            </w:r>
            <w:r>
              <w:rPr>
                <w:rFonts w:ascii="Times New Roman" w:hAnsi="Times New Roman"/>
                <w:sz w:val="24"/>
                <w:szCs w:val="24"/>
              </w:rPr>
              <w:t>.</w:t>
            </w:r>
            <w:r w:rsidRPr="00321CBB">
              <w:rPr>
                <w:rFonts w:ascii="Times New Roman" w:hAnsi="Times New Roman"/>
                <w:sz w:val="24"/>
                <w:szCs w:val="24"/>
              </w:rPr>
              <w:t>000</w:t>
            </w:r>
            <w:r>
              <w:rPr>
                <w:rFonts w:ascii="Times New Roman" w:hAnsi="Times New Roman"/>
                <w:sz w:val="24"/>
                <w:szCs w:val="24"/>
              </w:rPr>
              <w:t>,</w:t>
            </w:r>
            <w:r w:rsidRPr="00321CBB">
              <w:rPr>
                <w:rFonts w:ascii="Times New Roman" w:hAnsi="Times New Roman"/>
                <w:sz w:val="24"/>
                <w:szCs w:val="24"/>
              </w:rPr>
              <w:t>00</w:t>
            </w:r>
          </w:p>
        </w:tc>
        <w:tc>
          <w:tcPr>
            <w:tcW w:w="1696" w:type="dxa"/>
            <w:shd w:val="clear" w:color="auto" w:fill="auto"/>
          </w:tcPr>
          <w:p w14:paraId="10E9F2BC" w14:textId="2D2A0551" w:rsidR="00122962" w:rsidRPr="00EF622A" w:rsidRDefault="00122962" w:rsidP="00122962">
            <w:pPr>
              <w:spacing w:after="0" w:line="240" w:lineRule="auto"/>
              <w:jc w:val="right"/>
              <w:rPr>
                <w:rFonts w:ascii="Times New Roman" w:hAnsi="Times New Roman"/>
                <w:sz w:val="24"/>
                <w:szCs w:val="24"/>
              </w:rPr>
            </w:pPr>
            <w:r w:rsidRPr="00321CBB">
              <w:rPr>
                <w:rFonts w:ascii="Times New Roman" w:hAnsi="Times New Roman"/>
                <w:sz w:val="24"/>
                <w:szCs w:val="24"/>
              </w:rPr>
              <w:t>89</w:t>
            </w:r>
            <w:r>
              <w:rPr>
                <w:rFonts w:ascii="Times New Roman" w:hAnsi="Times New Roman"/>
                <w:sz w:val="24"/>
                <w:szCs w:val="24"/>
              </w:rPr>
              <w:t>,</w:t>
            </w:r>
            <w:r w:rsidRPr="00321CBB">
              <w:rPr>
                <w:rFonts w:ascii="Times New Roman" w:hAnsi="Times New Roman"/>
                <w:sz w:val="24"/>
                <w:szCs w:val="24"/>
              </w:rPr>
              <w:t>89</w:t>
            </w:r>
          </w:p>
        </w:tc>
      </w:tr>
      <w:tr w:rsidR="00122962" w:rsidRPr="001C531F" w14:paraId="5B7773CD" w14:textId="77777777" w:rsidTr="009C75C6">
        <w:trPr>
          <w:trHeight w:val="315"/>
        </w:trPr>
        <w:tc>
          <w:tcPr>
            <w:tcW w:w="2967" w:type="dxa"/>
            <w:shd w:val="clear" w:color="auto" w:fill="auto"/>
          </w:tcPr>
          <w:p w14:paraId="6324AF68" w14:textId="05DA4FB9" w:rsidR="00122962" w:rsidRPr="001C531F" w:rsidRDefault="00122962" w:rsidP="00122962">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shd w:val="clear" w:color="auto" w:fill="auto"/>
          </w:tcPr>
          <w:p w14:paraId="116A1581" w14:textId="3C164F62" w:rsidR="00122962" w:rsidRPr="00122962" w:rsidRDefault="00122962" w:rsidP="00122962">
            <w:pPr>
              <w:spacing w:after="0" w:line="240" w:lineRule="auto"/>
              <w:jc w:val="right"/>
              <w:rPr>
                <w:rFonts w:ascii="Times New Roman" w:hAnsi="Times New Roman"/>
                <w:b/>
                <w:bCs/>
                <w:sz w:val="24"/>
                <w:szCs w:val="24"/>
              </w:rPr>
            </w:pPr>
            <w:r w:rsidRPr="00122962">
              <w:rPr>
                <w:rFonts w:ascii="Times New Roman" w:hAnsi="Times New Roman"/>
                <w:b/>
                <w:bCs/>
                <w:sz w:val="24"/>
                <w:szCs w:val="24"/>
              </w:rPr>
              <w:t>2</w:t>
            </w:r>
            <w:r>
              <w:rPr>
                <w:rFonts w:ascii="Times New Roman" w:hAnsi="Times New Roman"/>
                <w:b/>
                <w:bCs/>
                <w:sz w:val="24"/>
                <w:szCs w:val="24"/>
              </w:rPr>
              <w:t>.</w:t>
            </w:r>
            <w:r w:rsidRPr="00122962">
              <w:rPr>
                <w:rFonts w:ascii="Times New Roman" w:hAnsi="Times New Roman"/>
                <w:b/>
                <w:bCs/>
                <w:sz w:val="24"/>
                <w:szCs w:val="24"/>
              </w:rPr>
              <w:t>685</w:t>
            </w:r>
          </w:p>
        </w:tc>
        <w:tc>
          <w:tcPr>
            <w:tcW w:w="2692" w:type="dxa"/>
            <w:shd w:val="clear" w:color="auto" w:fill="auto"/>
          </w:tcPr>
          <w:p w14:paraId="2DC7BED8" w14:textId="5AEA0C1B" w:rsidR="00122962" w:rsidRPr="00122962" w:rsidRDefault="00122962" w:rsidP="00122962">
            <w:pPr>
              <w:spacing w:after="0" w:line="240" w:lineRule="auto"/>
              <w:jc w:val="right"/>
              <w:rPr>
                <w:rFonts w:ascii="Times New Roman" w:hAnsi="Times New Roman"/>
                <w:b/>
                <w:bCs/>
                <w:sz w:val="24"/>
                <w:szCs w:val="24"/>
              </w:rPr>
            </w:pPr>
            <w:r w:rsidRPr="00122962">
              <w:rPr>
                <w:rFonts w:ascii="Times New Roman" w:hAnsi="Times New Roman"/>
                <w:b/>
                <w:bCs/>
                <w:sz w:val="24"/>
                <w:szCs w:val="24"/>
              </w:rPr>
              <w:t>6.675.156,03</w:t>
            </w:r>
          </w:p>
        </w:tc>
        <w:tc>
          <w:tcPr>
            <w:tcW w:w="1696" w:type="dxa"/>
            <w:shd w:val="clear" w:color="auto" w:fill="auto"/>
          </w:tcPr>
          <w:p w14:paraId="62F13B29" w14:textId="12A711D3" w:rsidR="00122962" w:rsidRPr="00122962" w:rsidRDefault="00122962" w:rsidP="00122962">
            <w:pPr>
              <w:spacing w:after="0" w:line="240" w:lineRule="auto"/>
              <w:jc w:val="right"/>
              <w:rPr>
                <w:rFonts w:ascii="Times New Roman" w:hAnsi="Times New Roman"/>
                <w:b/>
                <w:bCs/>
                <w:sz w:val="24"/>
                <w:szCs w:val="24"/>
              </w:rPr>
            </w:pPr>
            <w:r w:rsidRPr="00122962">
              <w:rPr>
                <w:rFonts w:ascii="Times New Roman" w:hAnsi="Times New Roman"/>
                <w:b/>
                <w:bCs/>
                <w:sz w:val="24"/>
                <w:szCs w:val="24"/>
              </w:rPr>
              <w:t>100,00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lastRenderedPageBreak/>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61EF8">
        <w:rPr>
          <w:rFonts w:ascii="Times New Roman" w:hAnsi="Times New Roman"/>
          <w:b/>
          <w:sz w:val="24"/>
          <w:szCs w:val="24"/>
          <w:lang w:val="nl-NL"/>
        </w:rPr>
        <w:t>5</w:t>
      </w:r>
      <w:r w:rsidR="00BE6F63" w:rsidRPr="00761EF8">
        <w:rPr>
          <w:rFonts w:ascii="Times New Roman" w:hAnsi="Times New Roman"/>
          <w:b/>
          <w:sz w:val="24"/>
          <w:szCs w:val="24"/>
          <w:lang w:val="nl-NL"/>
        </w:rPr>
        <w:t>. Thông tin về triển vọng thị trường</w:t>
      </w:r>
    </w:p>
    <w:p w14:paraId="5DBBB8F9" w14:textId="77777777" w:rsidR="00122962" w:rsidRDefault="00122962" w:rsidP="00122962">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Điểm nhấn của thị trường trong năm 2024 là FED và </w:t>
      </w:r>
      <w:r w:rsidRPr="001C531F">
        <w:rPr>
          <w:rFonts w:ascii="Times New Roman" w:hAnsi="Times New Roman"/>
          <w:sz w:val="24"/>
          <w:szCs w:val="24"/>
          <w:lang w:val="nl-NL"/>
        </w:rPr>
        <w:t xml:space="preserve">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w:t>
      </w:r>
      <w:r>
        <w:rPr>
          <w:rFonts w:ascii="Times New Roman" w:hAnsi="Times New Roman"/>
          <w:sz w:val="24"/>
          <w:szCs w:val="24"/>
          <w:lang w:val="nl-NL"/>
        </w:rPr>
        <w:t xml:space="preserve"> đã bắt đầu chính sách nới lỏng và cắt giảm lãi suất từ tháng 9 năm 2024,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thêm và thúc đẩy chính sách</w:t>
      </w:r>
      <w:r w:rsidRPr="001C531F">
        <w:rPr>
          <w:rFonts w:ascii="Times New Roman" w:hAnsi="Times New Roman"/>
          <w:sz w:val="24"/>
          <w:szCs w:val="24"/>
          <w:lang w:val="nl-NL"/>
        </w:rPr>
        <w:t xml:space="preserve"> </w:t>
      </w:r>
      <w:r>
        <w:rPr>
          <w:rFonts w:ascii="Times New Roman" w:hAnsi="Times New Roman"/>
          <w:sz w:val="24"/>
          <w:szCs w:val="24"/>
          <w:lang w:val="nl-NL"/>
        </w:rPr>
        <w:t>tăng trưởng tín dụng mạnh mẽ theo mục tiêu 15% cả năm 2024</w:t>
      </w:r>
      <w:r w:rsidRPr="001C531F">
        <w:rPr>
          <w:rFonts w:ascii="Times New Roman" w:hAnsi="Times New Roman"/>
          <w:sz w:val="24"/>
          <w:szCs w:val="24"/>
          <w:lang w:val="nl-NL"/>
        </w:rPr>
        <w:t xml:space="preserve">. </w:t>
      </w:r>
      <w:r>
        <w:rPr>
          <w:rFonts w:ascii="Times New Roman" w:hAnsi="Times New Roman"/>
          <w:sz w:val="24"/>
          <w:szCs w:val="24"/>
          <w:lang w:val="nl-NL"/>
        </w:rPr>
        <w:t>Tuy nhiên với áp lực tỷ giá mạnh mẽ trong thời điểm cuối năm, Ngân hàng Nhà nước đã</w:t>
      </w:r>
      <w:r w:rsidRPr="00540094">
        <w:rPr>
          <w:rFonts w:ascii="Times New Roman" w:hAnsi="Times New Roman"/>
          <w:sz w:val="24"/>
          <w:szCs w:val="24"/>
          <w:lang w:val="nl-NL"/>
        </w:rPr>
        <w:t xml:space="preserve"> phát hành</w:t>
      </w:r>
      <w:r>
        <w:rPr>
          <w:rFonts w:ascii="Times New Roman" w:hAnsi="Times New Roman"/>
          <w:sz w:val="24"/>
          <w:szCs w:val="24"/>
          <w:lang w:val="nl-NL"/>
        </w:rPr>
        <w:t xml:space="preserve"> lại</w:t>
      </w:r>
      <w:r w:rsidRPr="00540094">
        <w:rPr>
          <w:rFonts w:ascii="Times New Roman" w:hAnsi="Times New Roman"/>
          <w:sz w:val="24"/>
          <w:szCs w:val="24"/>
          <w:lang w:val="nl-NL"/>
        </w:rPr>
        <w:t xml:space="preserve"> tín phiếu, </w:t>
      </w:r>
      <w:r>
        <w:rPr>
          <w:rFonts w:ascii="Times New Roman" w:hAnsi="Times New Roman"/>
          <w:sz w:val="24"/>
          <w:szCs w:val="24"/>
          <w:lang w:val="nl-NL"/>
        </w:rPr>
        <w:t>tăng</w:t>
      </w:r>
      <w:r w:rsidRPr="00540094">
        <w:rPr>
          <w:rFonts w:ascii="Times New Roman" w:hAnsi="Times New Roman"/>
          <w:sz w:val="24"/>
          <w:szCs w:val="24"/>
          <w:lang w:val="nl-NL"/>
        </w:rPr>
        <w:t xml:space="preserve"> lãi suất OMO</w:t>
      </w:r>
      <w:r>
        <w:rPr>
          <w:rFonts w:ascii="Times New Roman" w:hAnsi="Times New Roman"/>
          <w:sz w:val="24"/>
          <w:szCs w:val="24"/>
          <w:lang w:val="nl-NL"/>
        </w:rPr>
        <w:t xml:space="preserve"> </w:t>
      </w:r>
      <w:r w:rsidRPr="00540094">
        <w:rPr>
          <w:rFonts w:ascii="Times New Roman" w:hAnsi="Times New Roman"/>
          <w:sz w:val="24"/>
          <w:szCs w:val="24"/>
          <w:lang w:val="nl-NL"/>
        </w:rPr>
        <w:t xml:space="preserve">và </w:t>
      </w:r>
      <w:r>
        <w:rPr>
          <w:rFonts w:ascii="Times New Roman" w:hAnsi="Times New Roman"/>
          <w:sz w:val="24"/>
          <w:szCs w:val="24"/>
          <w:lang w:val="nl-NL"/>
        </w:rPr>
        <w:t xml:space="preserve">hút </w:t>
      </w:r>
      <w:r w:rsidRPr="00540094">
        <w:rPr>
          <w:rFonts w:ascii="Times New Roman" w:hAnsi="Times New Roman"/>
          <w:sz w:val="24"/>
          <w:szCs w:val="24"/>
          <w:lang w:val="nl-NL"/>
        </w:rPr>
        <w:t xml:space="preserve">ròng ra hệ thống nhằm </w:t>
      </w:r>
      <w:r>
        <w:rPr>
          <w:rFonts w:ascii="Times New Roman" w:hAnsi="Times New Roman"/>
          <w:sz w:val="24"/>
          <w:szCs w:val="24"/>
          <w:lang w:val="nl-NL"/>
        </w:rPr>
        <w:t>ổn định tỷ giá. Thanh khoản hệ thống căng thẳng hơn và mặt bằng lãi suất trên cả thị trường một và thị trường hai đều tăng vào cuối năm 2024.</w:t>
      </w:r>
    </w:p>
    <w:p w14:paraId="05B41DE0" w14:textId="77777777" w:rsidR="00122962" w:rsidRDefault="00122962" w:rsidP="00122962">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r>
        <w:rPr>
          <w:rFonts w:ascii="Times New Roman" w:hAnsi="Times New Roman"/>
          <w:sz w:val="24"/>
          <w:szCs w:val="24"/>
          <w:lang w:val="nl-NL"/>
        </w:rPr>
        <w:t>Cùng với nhu cầu đầu tư các tài sản có tính thanh khoản cao, đồng thời chính sách thúc đẩy đầu tư công được kỳ vọng sẽ là những động lực giúp cho thị trường trái phiếu chính phủ tiếp tục sôi động trong năm 2025 và những năm sau đó.</w:t>
      </w:r>
    </w:p>
    <w:p w14:paraId="69EABFB0" w14:textId="77777777" w:rsidR="00122962" w:rsidRPr="00630438" w:rsidRDefault="00122962" w:rsidP="00122962">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sau giai đoạn</w:t>
      </w:r>
      <w:r w:rsidRPr="00630438">
        <w:rPr>
          <w:rFonts w:ascii="Times New Roman" w:hAnsi="Times New Roman"/>
          <w:sz w:val="24"/>
          <w:szCs w:val="24"/>
          <w:lang w:val="nl-NL"/>
        </w:rPr>
        <w:t xml:space="preserve"> </w:t>
      </w:r>
      <w:r>
        <w:rPr>
          <w:rFonts w:ascii="Times New Roman" w:hAnsi="Times New Roman"/>
          <w:sz w:val="24"/>
          <w:szCs w:val="24"/>
          <w:lang w:val="nl-NL"/>
        </w:rPr>
        <w:t>n</w:t>
      </w:r>
      <w:r w:rsidRPr="00630438">
        <w:rPr>
          <w:rFonts w:ascii="Times New Roman" w:hAnsi="Times New Roman"/>
          <w:sz w:val="24"/>
          <w:szCs w:val="24"/>
          <w:lang w:val="nl-NL"/>
        </w:rPr>
        <w:t>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tuy nhiên đã có tín hiệu</w:t>
      </w:r>
      <w:r w:rsidRPr="008676AE">
        <w:rPr>
          <w:rFonts w:ascii="Times New Roman" w:hAnsi="Times New Roman"/>
          <w:sz w:val="24"/>
          <w:szCs w:val="24"/>
          <w:lang w:val="nl-NL"/>
        </w:rPr>
        <w:t xml:space="preserve"> cho thấy xu hướng trở lại của hoạt động phát hành mới</w:t>
      </w:r>
      <w:r>
        <w:rPr>
          <w:rFonts w:ascii="Times New Roman" w:hAnsi="Times New Roman"/>
          <w:sz w:val="24"/>
          <w:szCs w:val="24"/>
          <w:lang w:val="nl-NL"/>
        </w:rPr>
        <w:t xml:space="preserve"> từ trong năm 2024. Bên cạnh đó </w:t>
      </w:r>
      <w:r w:rsidRPr="0016017B">
        <w:rPr>
          <w:rFonts w:ascii="Times New Roman" w:hAnsi="Times New Roman"/>
          <w:sz w:val="24"/>
          <w:szCs w:val="24"/>
          <w:lang w:val="nl-NL"/>
        </w:rPr>
        <w:t xml:space="preserve">thị trường giao dịch thứ cấp </w:t>
      </w:r>
      <w:r>
        <w:rPr>
          <w:rFonts w:ascii="Times New Roman" w:hAnsi="Times New Roman"/>
          <w:sz w:val="24"/>
          <w:szCs w:val="24"/>
          <w:lang w:val="nl-NL"/>
        </w:rPr>
        <w:t>trái phiếu doanh nghiệp</w:t>
      </w:r>
      <w:r w:rsidRPr="0016017B">
        <w:rPr>
          <w:rFonts w:ascii="Times New Roman" w:hAnsi="Times New Roman"/>
          <w:sz w:val="24"/>
          <w:szCs w:val="24"/>
          <w:lang w:val="nl-NL"/>
        </w:rPr>
        <w:t xml:space="preserve"> được vận hành chính thức tại HNX từ ngày 19/7/2023 đã tạo sự thanh khoản trên thị trường, tăng cường tính công khai, minh bạch của thị trường và củng cố niềm tin cho nhà đầu tư, hỗ trợ thị trường này phát triển minh bạch và bền vững hơn</w:t>
      </w:r>
      <w:r>
        <w:rPr>
          <w:rFonts w:ascii="Times New Roman" w:hAnsi="Times New Roman"/>
          <w:sz w:val="24"/>
          <w:szCs w:val="24"/>
          <w:lang w:val="nl-NL"/>
        </w:rPr>
        <w:t xml:space="preserve"> trong tương lai.</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4988693" w14:textId="77777777" w:rsidR="00122962" w:rsidRPr="001C531F" w:rsidRDefault="00122962" w:rsidP="00122962">
      <w:pPr>
        <w:shd w:val="clear" w:color="auto" w:fill="FFFFFF"/>
        <w:tabs>
          <w:tab w:val="left" w:pos="540"/>
        </w:tabs>
        <w:spacing w:before="120" w:after="0" w:line="240" w:lineRule="auto"/>
        <w:jc w:val="both"/>
        <w:rPr>
          <w:rFonts w:ascii="Times New Roman" w:hAnsi="Times New Roman"/>
          <w:b/>
          <w:sz w:val="24"/>
          <w:szCs w:val="24"/>
          <w:lang w:val="nl-NL"/>
        </w:rPr>
      </w:pPr>
      <w:r w:rsidRPr="00761EF8">
        <w:rPr>
          <w:rFonts w:ascii="Times New Roman" w:hAnsi="Times New Roman"/>
          <w:b/>
          <w:sz w:val="24"/>
          <w:szCs w:val="24"/>
          <w:lang w:val="nl-NL"/>
        </w:rPr>
        <w:t>6. Thông tin khác</w:t>
      </w:r>
    </w:p>
    <w:p w14:paraId="0A6F7D7D" w14:textId="77777777" w:rsidR="00122962" w:rsidRPr="001C531F" w:rsidRDefault="00122962" w:rsidP="00122962">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Ban điều hành Công ty quản lý Quỹ  </w:t>
      </w:r>
    </w:p>
    <w:p w14:paraId="722DCDD8" w14:textId="77777777" w:rsidR="00122962" w:rsidRPr="001C531F" w:rsidRDefault="00122962" w:rsidP="00122962">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122962" w:rsidRPr="001C531F" w14:paraId="616A689F" w14:textId="77777777" w:rsidTr="00553348">
        <w:tc>
          <w:tcPr>
            <w:tcW w:w="2970" w:type="dxa"/>
          </w:tcPr>
          <w:p w14:paraId="623EC277" w14:textId="77777777" w:rsidR="00122962" w:rsidRPr="001C531F" w:rsidRDefault="00122962" w:rsidP="00553348">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1CB737C2" w14:textId="77777777" w:rsidR="00122962" w:rsidRPr="001C531F" w:rsidRDefault="00122962" w:rsidP="00553348">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3BE2CFDD" w14:textId="77777777" w:rsidR="00122962" w:rsidRPr="001C531F" w:rsidRDefault="00122962" w:rsidP="00553348">
            <w:pPr>
              <w:pStyle w:val="ListParagraph"/>
              <w:tabs>
                <w:tab w:val="left" w:pos="540"/>
              </w:tabs>
              <w:ind w:left="0"/>
              <w:rPr>
                <w:rFonts w:ascii="Times New Roman" w:hAnsi="Times New Roman"/>
                <w:iCs/>
                <w:sz w:val="24"/>
                <w:szCs w:val="24"/>
                <w:lang w:val="nl-NL"/>
              </w:rPr>
            </w:pPr>
          </w:p>
          <w:p w14:paraId="074D2895" w14:textId="77777777" w:rsidR="00122962" w:rsidRPr="001C531F" w:rsidRDefault="00122962" w:rsidP="00553348">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361A80B2" w14:textId="77777777" w:rsidR="00122962" w:rsidRPr="001C531F" w:rsidRDefault="00122962" w:rsidP="00553348">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1C7F8B8"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5F9D6C54"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3551C947"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1DA37ED0"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2444B91F"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7B7E9FA4"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43BF5E6C" w14:textId="77777777" w:rsidR="00122962" w:rsidRPr="001C531F" w:rsidRDefault="00122962" w:rsidP="00553348">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1F963B37" w14:textId="77777777" w:rsidR="00122962" w:rsidRPr="001C531F" w:rsidRDefault="00122962" w:rsidP="00553348">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lastRenderedPageBreak/>
              <w:t xml:space="preserve">Ông có </w:t>
            </w:r>
            <w:r>
              <w:rPr>
                <w:rFonts w:ascii="Times New Roman" w:hAnsi="Times New Roman"/>
                <w:sz w:val="24"/>
                <w:szCs w:val="24"/>
                <w:lang w:val="nl-NL"/>
              </w:rPr>
              <w:t>trên</w:t>
            </w:r>
            <w:r w:rsidRPr="001C531F">
              <w:rPr>
                <w:rFonts w:ascii="Times New Roman" w:hAnsi="Times New Roman"/>
                <w:sz w:val="24"/>
                <w:szCs w:val="24"/>
                <w:lang w:val="nl-NL"/>
              </w:rPr>
              <w:t xml:space="preserve">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122962" w:rsidRPr="001C531F" w14:paraId="068EFDF9" w14:textId="77777777" w:rsidTr="00553348">
        <w:tc>
          <w:tcPr>
            <w:tcW w:w="2970" w:type="dxa"/>
          </w:tcPr>
          <w:p w14:paraId="4A3C8C14" w14:textId="77777777" w:rsidR="00122962" w:rsidRDefault="00122962" w:rsidP="00553348">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lastRenderedPageBreak/>
              <w:t>Ông Fumihiko Kida</w:t>
            </w:r>
          </w:p>
          <w:p w14:paraId="0FD6BFD3" w14:textId="77777777" w:rsidR="00122962" w:rsidRPr="001C531F" w:rsidRDefault="00122962" w:rsidP="00553348">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3C89ABFD" w14:textId="77777777" w:rsidR="00122962" w:rsidRDefault="00122962" w:rsidP="00553348">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0897D471" w14:textId="77777777" w:rsidR="00122962" w:rsidRPr="000559EC" w:rsidRDefault="00122962" w:rsidP="00553348">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43BDAA20" w14:textId="77777777" w:rsidR="00122962" w:rsidRPr="000559EC" w:rsidRDefault="00122962" w:rsidP="00553348">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5E345481" w14:textId="77777777" w:rsidR="00122962" w:rsidRDefault="00122962" w:rsidP="00553348">
            <w:pPr>
              <w:tabs>
                <w:tab w:val="left" w:pos="540"/>
              </w:tabs>
              <w:spacing w:before="120" w:after="0"/>
              <w:jc w:val="both"/>
              <w:rPr>
                <w:rFonts w:ascii="Times New Roman" w:hAnsi="Times New Roman"/>
                <w:b/>
                <w:i/>
                <w:sz w:val="24"/>
                <w:szCs w:val="24"/>
                <w:lang w:val="nl-NL"/>
              </w:rPr>
            </w:pPr>
            <w:r w:rsidRPr="000559EC">
              <w:rPr>
                <w:rFonts w:ascii="Times New Roman" w:hAnsi="Times New Roman"/>
                <w:b/>
                <w:i/>
                <w:sz w:val="24"/>
                <w:szCs w:val="24"/>
                <w:lang w:val="nl-NL"/>
              </w:rPr>
              <w:t>Kinh nghiệm làm việc</w:t>
            </w:r>
          </w:p>
          <w:p w14:paraId="189AD2A0" w14:textId="77777777" w:rsidR="00122962" w:rsidRPr="001C531F" w:rsidRDefault="00122962" w:rsidP="00553348">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6B1F5A0" w14:textId="77777777" w:rsidR="00122962" w:rsidRPr="001C531F" w:rsidRDefault="00122962" w:rsidP="00122962">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6428CF7E" w14:textId="77777777" w:rsidR="00122962" w:rsidRPr="001C531F" w:rsidRDefault="00122962" w:rsidP="00122962">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 Người điều hành Quỹ</w:t>
      </w:r>
    </w:p>
    <w:p w14:paraId="0CAD02D9" w14:textId="77777777" w:rsidR="00122962" w:rsidRPr="001C531F" w:rsidRDefault="00122962" w:rsidP="00122962">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122962" w:rsidRPr="001C531F" w14:paraId="2B3F7AE6" w14:textId="77777777" w:rsidTr="00553348">
        <w:tc>
          <w:tcPr>
            <w:tcW w:w="2970" w:type="dxa"/>
          </w:tcPr>
          <w:p w14:paraId="6452EBCA" w14:textId="77777777" w:rsidR="00122962" w:rsidRPr="001C531F" w:rsidRDefault="00122962" w:rsidP="00553348">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5C2C7D9F" w14:textId="77777777" w:rsidR="00122962" w:rsidRPr="001C531F" w:rsidRDefault="00122962" w:rsidP="00553348">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31DC236A" w14:textId="77777777" w:rsidR="00122962" w:rsidRPr="001C531F" w:rsidRDefault="00122962" w:rsidP="00553348">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65476D80" w14:textId="77777777" w:rsidR="00122962" w:rsidRPr="001C531F" w:rsidRDefault="00122962" w:rsidP="00553348">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0040B918" w14:textId="77777777" w:rsidR="00122962" w:rsidRPr="001C531F" w:rsidRDefault="00122962" w:rsidP="00553348">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4E098F48" w14:textId="77777777" w:rsidR="00122962" w:rsidRPr="001C531F"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5FCA9486" w14:textId="77777777" w:rsidR="00122962" w:rsidRPr="001C531F" w:rsidRDefault="00122962" w:rsidP="00553348">
            <w:pPr>
              <w:pStyle w:val="ListParagraph"/>
              <w:tabs>
                <w:tab w:val="left" w:pos="281"/>
              </w:tabs>
              <w:spacing w:before="120" w:after="0"/>
              <w:ind w:left="295"/>
              <w:jc w:val="both"/>
              <w:rPr>
                <w:rFonts w:ascii="Times New Roman" w:hAnsi="Times New Roman"/>
                <w:sz w:val="24"/>
                <w:szCs w:val="24"/>
                <w:lang w:val="nl-NL"/>
              </w:rPr>
            </w:pPr>
          </w:p>
          <w:p w14:paraId="79B0B8F6" w14:textId="77777777" w:rsidR="00122962" w:rsidRPr="001C531F" w:rsidRDefault="00122962" w:rsidP="00553348">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0BB49EDF" w14:textId="77777777" w:rsidR="00122962" w:rsidRPr="001C531F" w:rsidRDefault="00122962" w:rsidP="00553348">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lastRenderedPageBreak/>
              <w:t xml:space="preserve">Bà đã có hơn </w:t>
            </w:r>
            <w:r>
              <w:rPr>
                <w:rFonts w:ascii="Times New Roman" w:hAnsi="Times New Roman"/>
                <w:bCs/>
                <w:iCs/>
                <w:sz w:val="24"/>
                <w:szCs w:val="24"/>
                <w:lang w:val="nl-NL"/>
              </w:rPr>
              <w:t>mười chín</w:t>
            </w:r>
            <w:r w:rsidRPr="001C531F">
              <w:rPr>
                <w:rFonts w:ascii="Times New Roman" w:hAnsi="Times New Roman"/>
                <w:bCs/>
                <w:iCs/>
                <w:sz w:val="24"/>
                <w:szCs w:val="24"/>
                <w:lang w:val="nl-NL"/>
              </w:rPr>
              <w:t xml:space="preserve"> (</w:t>
            </w:r>
            <w:r>
              <w:rPr>
                <w:rFonts w:ascii="Times New Roman" w:hAnsi="Times New Roman"/>
                <w:bCs/>
                <w:iCs/>
                <w:sz w:val="24"/>
                <w:szCs w:val="24"/>
                <w:lang w:val="nl-NL"/>
              </w:rPr>
              <w:t>19</w:t>
            </w:r>
            <w:r w:rsidRPr="001C531F">
              <w:rPr>
                <w:rFonts w:ascii="Times New Roman" w:hAnsi="Times New Roman"/>
                <w:bCs/>
                <w:iCs/>
                <w:sz w:val="24"/>
                <w:szCs w:val="24"/>
                <w:lang w:val="nl-NL"/>
              </w:rPr>
              <w:t xml:space="preserve">) năm kinh nghiệm trong lĩnh vực tài chính, trong đó hơn mười </w:t>
            </w:r>
            <w:r>
              <w:rPr>
                <w:rFonts w:ascii="Times New Roman" w:hAnsi="Times New Roman"/>
                <w:bCs/>
                <w:iCs/>
                <w:sz w:val="24"/>
                <w:szCs w:val="24"/>
                <w:lang w:val="nl-NL"/>
              </w:rPr>
              <w:t xml:space="preserve">ba </w:t>
            </w:r>
            <w:r w:rsidRPr="001C531F">
              <w:rPr>
                <w:rFonts w:ascii="Times New Roman" w:hAnsi="Times New Roman"/>
                <w:bCs/>
                <w:iCs/>
                <w:sz w:val="24"/>
                <w:szCs w:val="24"/>
                <w:lang w:val="nl-NL"/>
              </w:rPr>
              <w:t>(</w:t>
            </w:r>
            <w:r>
              <w:rPr>
                <w:rFonts w:ascii="Times New Roman" w:hAnsi="Times New Roman"/>
                <w:bCs/>
                <w:iCs/>
                <w:sz w:val="24"/>
                <w:szCs w:val="24"/>
                <w:lang w:val="nl-NL"/>
              </w:rPr>
              <w:t>13</w:t>
            </w:r>
            <w:r w:rsidRPr="001C531F">
              <w:rPr>
                <w:rFonts w:ascii="Times New Roman" w:hAnsi="Times New Roman"/>
                <w:bCs/>
                <w:iCs/>
                <w:sz w:val="24"/>
                <w:szCs w:val="24"/>
                <w:lang w:val="nl-NL"/>
              </w:rPr>
              <w:t xml:space="preserve">)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122962" w:rsidRPr="001C531F" w14:paraId="7C57C7E1" w14:textId="77777777" w:rsidTr="00553348">
        <w:tc>
          <w:tcPr>
            <w:tcW w:w="2970" w:type="dxa"/>
          </w:tcPr>
          <w:p w14:paraId="3D5A91A3" w14:textId="77777777" w:rsidR="00122962" w:rsidRPr="00F30F76" w:rsidRDefault="00122962" w:rsidP="00553348">
            <w:pPr>
              <w:pStyle w:val="ListParagraph"/>
              <w:tabs>
                <w:tab w:val="left" w:pos="540"/>
              </w:tabs>
              <w:spacing w:before="120"/>
              <w:ind w:left="0"/>
              <w:jc w:val="both"/>
              <w:rPr>
                <w:rFonts w:ascii="Times New Roman" w:hAnsi="Times New Roman"/>
                <w:sz w:val="24"/>
                <w:szCs w:val="24"/>
                <w:lang w:val="nl-NL"/>
              </w:rPr>
            </w:pPr>
            <w:r w:rsidRPr="00F30F76">
              <w:rPr>
                <w:rFonts w:ascii="Times New Roman" w:hAnsi="Times New Roman"/>
                <w:b/>
                <w:bCs/>
                <w:iCs/>
                <w:sz w:val="24"/>
                <w:szCs w:val="24"/>
                <w:lang w:val="nl-NL"/>
              </w:rPr>
              <w:lastRenderedPageBreak/>
              <w:t>Bà</w:t>
            </w:r>
            <w:r w:rsidRPr="00F30F76">
              <w:rPr>
                <w:rFonts w:ascii="Times New Roman" w:hAnsi="Times New Roman"/>
                <w:i/>
                <w:sz w:val="24"/>
                <w:szCs w:val="24"/>
                <w:lang w:val="nl-NL"/>
              </w:rPr>
              <w:t xml:space="preserve"> </w:t>
            </w:r>
            <w:r w:rsidRPr="00F30F76">
              <w:rPr>
                <w:rFonts w:ascii="Times New Roman" w:hAnsi="Times New Roman"/>
                <w:b/>
                <w:bCs/>
                <w:sz w:val="24"/>
                <w:szCs w:val="24"/>
                <w:lang w:val="nl-NL"/>
              </w:rPr>
              <w:t>Hồ Thị Mai Phương</w:t>
            </w:r>
            <w:r w:rsidRPr="00F30F76">
              <w:rPr>
                <w:rFonts w:ascii="Times New Roman" w:hAnsi="Times New Roman"/>
                <w:b/>
                <w:sz w:val="24"/>
                <w:szCs w:val="24"/>
                <w:lang w:val="nl-NL"/>
              </w:rPr>
              <w:t>,</w:t>
            </w:r>
          </w:p>
          <w:p w14:paraId="5691EA03" w14:textId="77777777" w:rsidR="00122962" w:rsidRPr="00583CD5" w:rsidRDefault="00122962" w:rsidP="00553348">
            <w:pPr>
              <w:pStyle w:val="ListParagraph"/>
              <w:tabs>
                <w:tab w:val="left" w:pos="540"/>
              </w:tabs>
              <w:spacing w:before="120" w:after="0" w:line="240" w:lineRule="auto"/>
              <w:ind w:left="0"/>
              <w:jc w:val="both"/>
              <w:rPr>
                <w:rFonts w:ascii="Times New Roman" w:hAnsi="Times New Roman"/>
                <w:color w:val="FF0000"/>
                <w:sz w:val="24"/>
                <w:szCs w:val="24"/>
                <w:lang w:val="nl-NL"/>
              </w:rPr>
            </w:pPr>
            <w:r w:rsidRPr="00F30F76">
              <w:rPr>
                <w:rFonts w:ascii="Times New Roman" w:hAnsi="Times New Roman"/>
                <w:sz w:val="24"/>
                <w:szCs w:val="24"/>
                <w:lang w:val="nl-NL"/>
              </w:rPr>
              <w:t>Phụ trách cao cấp Nghiệp vụ Quản lý Quỹ</w:t>
            </w:r>
          </w:p>
        </w:tc>
        <w:tc>
          <w:tcPr>
            <w:tcW w:w="6390" w:type="dxa"/>
          </w:tcPr>
          <w:p w14:paraId="36CB6017" w14:textId="77777777" w:rsidR="00122962" w:rsidRPr="00F30F76" w:rsidRDefault="00122962" w:rsidP="00553348">
            <w:pPr>
              <w:pStyle w:val="ListParagraph"/>
              <w:tabs>
                <w:tab w:val="left" w:pos="540"/>
              </w:tabs>
              <w:ind w:left="0"/>
              <w:jc w:val="both"/>
              <w:rPr>
                <w:rFonts w:ascii="Times New Roman" w:hAnsi="Times New Roman"/>
                <w:b/>
                <w:i/>
                <w:sz w:val="24"/>
                <w:szCs w:val="24"/>
                <w:lang w:val="nl-NL"/>
              </w:rPr>
            </w:pPr>
            <w:r w:rsidRPr="00F30F76">
              <w:rPr>
                <w:rFonts w:ascii="Times New Roman" w:hAnsi="Times New Roman"/>
                <w:b/>
                <w:i/>
                <w:sz w:val="24"/>
                <w:szCs w:val="24"/>
                <w:lang w:val="nl-NL"/>
              </w:rPr>
              <w:t xml:space="preserve">Trình độ chuyên môn </w:t>
            </w:r>
          </w:p>
          <w:p w14:paraId="33321485" w14:textId="77777777" w:rsidR="00122962" w:rsidRPr="00F30F76" w:rsidRDefault="00122962" w:rsidP="00553348">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36C83">
              <w:rPr>
                <w:rFonts w:ascii="Times New Roman" w:hAnsi="Times New Roman"/>
                <w:sz w:val="24"/>
                <w:szCs w:val="24"/>
                <w:lang w:val="nl-NL"/>
              </w:rPr>
              <w:t>Thạc sỹ Phân tích tài chính của Trường Đại học New South Wales, Sydney, Úc</w:t>
            </w:r>
            <w:r w:rsidRPr="00F30F76">
              <w:rPr>
                <w:rFonts w:ascii="Times New Roman" w:hAnsi="Times New Roman"/>
                <w:sz w:val="24"/>
                <w:szCs w:val="24"/>
                <w:lang w:val="nl-NL"/>
              </w:rPr>
              <w:t>;</w:t>
            </w:r>
          </w:p>
          <w:p w14:paraId="2349F4B4" w14:textId="77777777" w:rsidR="00122962" w:rsidRDefault="00122962" w:rsidP="00553348">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proofErr w:type="spellStart"/>
            <w:r w:rsidRPr="00D36C83">
              <w:rPr>
                <w:rFonts w:ascii="Times New Roman" w:hAnsi="Times New Roman"/>
                <w:sz w:val="24"/>
                <w:szCs w:val="24"/>
              </w:rPr>
              <w:t>Cử</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nhân</w:t>
            </w:r>
            <w:proofErr w:type="spellEnd"/>
            <w:r w:rsidRPr="00D36C83">
              <w:rPr>
                <w:rFonts w:ascii="Times New Roman" w:hAnsi="Times New Roman"/>
                <w:sz w:val="24"/>
                <w:szCs w:val="24"/>
              </w:rPr>
              <w:t xml:space="preserve"> Tài </w:t>
            </w:r>
            <w:proofErr w:type="spellStart"/>
            <w:r w:rsidRPr="00D36C83">
              <w:rPr>
                <w:rFonts w:ascii="Times New Roman" w:hAnsi="Times New Roman"/>
                <w:sz w:val="24"/>
                <w:szCs w:val="24"/>
              </w:rPr>
              <w:t>chính</w:t>
            </w:r>
            <w:proofErr w:type="spellEnd"/>
            <w:r w:rsidRPr="00D36C83">
              <w:rPr>
                <w:rFonts w:ascii="Times New Roman" w:hAnsi="Times New Roman"/>
                <w:sz w:val="24"/>
                <w:szCs w:val="24"/>
              </w:rPr>
              <w:t xml:space="preserve"> - Ngân </w:t>
            </w:r>
            <w:proofErr w:type="spellStart"/>
            <w:r w:rsidRPr="00D36C83">
              <w:rPr>
                <w:rFonts w:ascii="Times New Roman" w:hAnsi="Times New Roman"/>
                <w:sz w:val="24"/>
                <w:szCs w:val="24"/>
              </w:rPr>
              <w:t>hàng</w:t>
            </w:r>
            <w:proofErr w:type="spellEnd"/>
            <w:r w:rsidRPr="00D36C83">
              <w:rPr>
                <w:rFonts w:ascii="Times New Roman" w:hAnsi="Times New Roman"/>
                <w:sz w:val="24"/>
                <w:szCs w:val="24"/>
              </w:rPr>
              <w:t xml:space="preserve"> - </w:t>
            </w:r>
            <w:proofErr w:type="spellStart"/>
            <w:r w:rsidRPr="00D36C83">
              <w:rPr>
                <w:rFonts w:ascii="Times New Roman" w:hAnsi="Times New Roman"/>
                <w:sz w:val="24"/>
                <w:szCs w:val="24"/>
              </w:rPr>
              <w:t>Đại</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học</w:t>
            </w:r>
            <w:proofErr w:type="spellEnd"/>
            <w:r w:rsidRPr="00D36C83">
              <w:rPr>
                <w:rFonts w:ascii="Times New Roman" w:hAnsi="Times New Roman"/>
                <w:sz w:val="24"/>
                <w:szCs w:val="24"/>
              </w:rPr>
              <w:t xml:space="preserve"> Kinh </w:t>
            </w:r>
            <w:proofErr w:type="spellStart"/>
            <w:r w:rsidRPr="00D36C83">
              <w:rPr>
                <w:rFonts w:ascii="Times New Roman" w:hAnsi="Times New Roman"/>
                <w:sz w:val="24"/>
                <w:szCs w:val="24"/>
              </w:rPr>
              <w:t>tế</w:t>
            </w:r>
            <w:proofErr w:type="spellEnd"/>
            <w:r w:rsidRPr="00D36C83">
              <w:rPr>
                <w:rFonts w:ascii="Times New Roman" w:hAnsi="Times New Roman"/>
                <w:sz w:val="24"/>
                <w:szCs w:val="24"/>
              </w:rPr>
              <w:t xml:space="preserve"> Tp. </w:t>
            </w:r>
            <w:proofErr w:type="spellStart"/>
            <w:r w:rsidRPr="00D36C83">
              <w:rPr>
                <w:rFonts w:ascii="Times New Roman" w:hAnsi="Times New Roman"/>
                <w:sz w:val="24"/>
                <w:szCs w:val="24"/>
              </w:rPr>
              <w:t>Hồ</w:t>
            </w:r>
            <w:proofErr w:type="spellEnd"/>
            <w:r w:rsidRPr="00D36C83">
              <w:rPr>
                <w:rFonts w:ascii="Times New Roman" w:hAnsi="Times New Roman"/>
                <w:sz w:val="24"/>
                <w:szCs w:val="24"/>
              </w:rPr>
              <w:t xml:space="preserve"> Chí </w:t>
            </w:r>
            <w:proofErr w:type="gramStart"/>
            <w:r w:rsidRPr="00D36C83">
              <w:rPr>
                <w:rFonts w:ascii="Times New Roman" w:hAnsi="Times New Roman"/>
                <w:sz w:val="24"/>
                <w:szCs w:val="24"/>
              </w:rPr>
              <w:t>Min</w:t>
            </w:r>
            <w:r>
              <w:rPr>
                <w:rFonts w:ascii="Times New Roman" w:hAnsi="Times New Roman"/>
                <w:sz w:val="24"/>
                <w:szCs w:val="24"/>
                <w:lang w:val="nl-NL"/>
              </w:rPr>
              <w:t>h</w:t>
            </w:r>
            <w:r w:rsidRPr="00F30F76">
              <w:rPr>
                <w:rFonts w:ascii="Times New Roman" w:hAnsi="Times New Roman"/>
                <w:sz w:val="24"/>
                <w:szCs w:val="24"/>
                <w:lang w:val="nl-NL"/>
              </w:rPr>
              <w:t>;</w:t>
            </w:r>
            <w:proofErr w:type="gramEnd"/>
          </w:p>
          <w:p w14:paraId="673D74AE" w14:textId="77777777" w:rsidR="00122962" w:rsidRPr="00F30F76" w:rsidRDefault="00122962" w:rsidP="00553348">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proofErr w:type="spellStart"/>
            <w:r w:rsidRPr="00D36C83">
              <w:rPr>
                <w:rFonts w:ascii="Times New Roman" w:hAnsi="Times New Roman"/>
                <w:sz w:val="24"/>
                <w:szCs w:val="24"/>
              </w:rPr>
              <w:t>Cử</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nhân</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Luật</w:t>
            </w:r>
            <w:proofErr w:type="spellEnd"/>
            <w:r w:rsidRPr="00D36C83">
              <w:rPr>
                <w:rFonts w:ascii="Times New Roman" w:hAnsi="Times New Roman"/>
                <w:sz w:val="24"/>
                <w:szCs w:val="24"/>
              </w:rPr>
              <w:t xml:space="preserve"> Kinh </w:t>
            </w:r>
            <w:proofErr w:type="spellStart"/>
            <w:r w:rsidRPr="00D36C83">
              <w:rPr>
                <w:rFonts w:ascii="Times New Roman" w:hAnsi="Times New Roman"/>
                <w:sz w:val="24"/>
                <w:szCs w:val="24"/>
              </w:rPr>
              <w:t>doanh</w:t>
            </w:r>
            <w:proofErr w:type="spellEnd"/>
            <w:r w:rsidRPr="00D36C83">
              <w:rPr>
                <w:rFonts w:ascii="Times New Roman" w:hAnsi="Times New Roman"/>
                <w:sz w:val="24"/>
                <w:szCs w:val="24"/>
              </w:rPr>
              <w:t xml:space="preserve"> - </w:t>
            </w:r>
            <w:proofErr w:type="spellStart"/>
            <w:r w:rsidRPr="00D36C83">
              <w:rPr>
                <w:rFonts w:ascii="Times New Roman" w:hAnsi="Times New Roman"/>
                <w:sz w:val="24"/>
                <w:szCs w:val="24"/>
              </w:rPr>
              <w:t>Đại</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học</w:t>
            </w:r>
            <w:proofErr w:type="spellEnd"/>
            <w:r w:rsidRPr="00D36C83">
              <w:rPr>
                <w:rFonts w:ascii="Times New Roman" w:hAnsi="Times New Roman"/>
                <w:sz w:val="24"/>
                <w:szCs w:val="24"/>
              </w:rPr>
              <w:t xml:space="preserve"> Kinh </w:t>
            </w:r>
            <w:proofErr w:type="spellStart"/>
            <w:r w:rsidRPr="00D36C83">
              <w:rPr>
                <w:rFonts w:ascii="Times New Roman" w:hAnsi="Times New Roman"/>
                <w:sz w:val="24"/>
                <w:szCs w:val="24"/>
              </w:rPr>
              <w:t>tế</w:t>
            </w:r>
            <w:proofErr w:type="spellEnd"/>
            <w:r w:rsidRPr="00D36C83">
              <w:rPr>
                <w:rFonts w:ascii="Times New Roman" w:hAnsi="Times New Roman"/>
                <w:sz w:val="24"/>
                <w:szCs w:val="24"/>
              </w:rPr>
              <w:t xml:space="preserve"> Tp. </w:t>
            </w:r>
            <w:proofErr w:type="spellStart"/>
            <w:r w:rsidRPr="00D36C83">
              <w:rPr>
                <w:rFonts w:ascii="Times New Roman" w:hAnsi="Times New Roman"/>
                <w:sz w:val="24"/>
                <w:szCs w:val="24"/>
              </w:rPr>
              <w:t>Hồ</w:t>
            </w:r>
            <w:proofErr w:type="spellEnd"/>
            <w:r w:rsidRPr="00D36C83">
              <w:rPr>
                <w:rFonts w:ascii="Times New Roman" w:hAnsi="Times New Roman"/>
                <w:sz w:val="24"/>
                <w:szCs w:val="24"/>
              </w:rPr>
              <w:t xml:space="preserve"> Chí </w:t>
            </w:r>
            <w:proofErr w:type="gramStart"/>
            <w:r w:rsidRPr="00D36C83">
              <w:rPr>
                <w:rFonts w:ascii="Times New Roman" w:hAnsi="Times New Roman"/>
                <w:sz w:val="24"/>
                <w:szCs w:val="24"/>
              </w:rPr>
              <w:t>Min</w:t>
            </w:r>
            <w:r>
              <w:rPr>
                <w:rFonts w:ascii="Times New Roman" w:hAnsi="Times New Roman"/>
                <w:sz w:val="24"/>
                <w:szCs w:val="24"/>
              </w:rPr>
              <w:t>h;</w:t>
            </w:r>
            <w:proofErr w:type="gramEnd"/>
          </w:p>
          <w:p w14:paraId="3BB22881" w14:textId="77777777" w:rsidR="00122962" w:rsidRPr="00F30F76" w:rsidRDefault="00122962" w:rsidP="00553348">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F30F76">
              <w:rPr>
                <w:rFonts w:ascii="Times New Roman" w:hAnsi="Times New Roman"/>
                <w:sz w:val="24"/>
                <w:szCs w:val="24"/>
                <w:lang w:val="nl-NL"/>
              </w:rPr>
              <w:tab/>
              <w:t>Chứng chỉ hành nghề Quản lý Quỹ của Ủy ban Chứng khoán Nhà nước</w:t>
            </w:r>
            <w:r>
              <w:rPr>
                <w:rFonts w:ascii="Times New Roman" w:hAnsi="Times New Roman"/>
                <w:sz w:val="24"/>
                <w:szCs w:val="24"/>
                <w:lang w:val="nl-NL"/>
              </w:rPr>
              <w:t>.</w:t>
            </w:r>
          </w:p>
          <w:p w14:paraId="3CC8A8EB" w14:textId="77777777" w:rsidR="00122962" w:rsidRPr="00F30F76" w:rsidRDefault="00122962" w:rsidP="00553348">
            <w:pPr>
              <w:pStyle w:val="ListParagraph"/>
              <w:tabs>
                <w:tab w:val="left" w:pos="281"/>
              </w:tabs>
              <w:spacing w:before="120" w:after="0"/>
              <w:ind w:left="295"/>
              <w:jc w:val="both"/>
              <w:rPr>
                <w:rFonts w:ascii="Times New Roman" w:hAnsi="Times New Roman"/>
                <w:sz w:val="24"/>
                <w:szCs w:val="24"/>
                <w:lang w:val="nl-NL"/>
              </w:rPr>
            </w:pPr>
          </w:p>
          <w:p w14:paraId="790500DB" w14:textId="77777777" w:rsidR="00122962" w:rsidRPr="00F30F76" w:rsidRDefault="00122962" w:rsidP="00553348">
            <w:pPr>
              <w:pStyle w:val="ListParagraph"/>
              <w:tabs>
                <w:tab w:val="left" w:pos="540"/>
              </w:tabs>
              <w:spacing w:before="120" w:after="0"/>
              <w:ind w:left="0"/>
              <w:jc w:val="both"/>
              <w:rPr>
                <w:rFonts w:ascii="Times New Roman" w:hAnsi="Times New Roman"/>
                <w:b/>
                <w:i/>
                <w:sz w:val="24"/>
                <w:szCs w:val="24"/>
                <w:lang w:val="nl-NL"/>
              </w:rPr>
            </w:pPr>
            <w:r w:rsidRPr="00F30F76">
              <w:rPr>
                <w:rFonts w:ascii="Times New Roman" w:hAnsi="Times New Roman"/>
                <w:b/>
                <w:i/>
                <w:sz w:val="24"/>
                <w:szCs w:val="24"/>
                <w:lang w:val="nl-NL"/>
              </w:rPr>
              <w:t>Kinh nghiệm làm việc</w:t>
            </w:r>
          </w:p>
          <w:p w14:paraId="4FFEC852" w14:textId="77777777" w:rsidR="00122962" w:rsidRPr="00583CD5" w:rsidRDefault="00122962" w:rsidP="00553348">
            <w:pPr>
              <w:spacing w:before="60" w:after="60"/>
              <w:jc w:val="both"/>
              <w:rPr>
                <w:rFonts w:ascii="Times New Roman" w:hAnsi="Times New Roman"/>
                <w:color w:val="FF0000"/>
                <w:sz w:val="24"/>
                <w:szCs w:val="24"/>
              </w:rPr>
            </w:pPr>
            <w:r w:rsidRPr="00F30F76">
              <w:rPr>
                <w:rFonts w:ascii="Times New Roman" w:hAnsi="Times New Roman"/>
                <w:bCs/>
                <w:iCs/>
                <w:sz w:val="24"/>
                <w:szCs w:val="24"/>
                <w:lang w:val="nl-NL"/>
              </w:rPr>
              <w:t>Bà đã có trên mười hai (12) năm kinh nghiệm trong lĩnh vực tài chính, chứng khoán. Trong đó, có hơn bốn</w:t>
            </w:r>
            <w:r>
              <w:rPr>
                <w:rFonts w:ascii="Times New Roman" w:hAnsi="Times New Roman"/>
                <w:bCs/>
                <w:iCs/>
                <w:sz w:val="24"/>
                <w:szCs w:val="24"/>
                <w:lang w:val="nl-NL"/>
              </w:rPr>
              <w:t xml:space="preserve"> </w:t>
            </w:r>
            <w:r w:rsidRPr="00F30F76">
              <w:rPr>
                <w:rFonts w:ascii="Times New Roman" w:hAnsi="Times New Roman"/>
                <w:bCs/>
                <w:iCs/>
                <w:sz w:val="24"/>
                <w:szCs w:val="24"/>
                <w:lang w:val="nl-NL"/>
              </w:rPr>
              <w:t>(04) năm kinh nghiệm và giữ chức vụ phụ trách nghiệp vụ quản lý quỹ của Công ty TNHH MTV Quản lý</w:t>
            </w:r>
            <w:r>
              <w:rPr>
                <w:rFonts w:ascii="Times New Roman" w:hAnsi="Times New Roman"/>
                <w:bCs/>
                <w:iCs/>
                <w:sz w:val="24"/>
                <w:szCs w:val="24"/>
                <w:lang w:val="nl-NL"/>
              </w:rPr>
              <w:t xml:space="preserve"> </w:t>
            </w:r>
            <w:r w:rsidRPr="00D36C83">
              <w:rPr>
                <w:rFonts w:ascii="Times New Roman" w:hAnsi="Times New Roman"/>
                <w:bCs/>
                <w:iCs/>
                <w:sz w:val="24"/>
                <w:szCs w:val="24"/>
                <w:lang w:val="nl-NL"/>
              </w:rPr>
              <w:t>Quỹ Dai-ichi Life Việt Nam. Trước khi gia nhập Công ty TNHH MTV Quản lý Quỹ Dai-ichi Life Việt Nam, bà đã có tám (08) năm kinh nghiệm làm việc trong lĩnh vực phân tích đầu tư tại Văn phòng đại diện Tong Yang Asset Management Corp., trực thuộc Tong Yang Asset Management Corp. có trụ sở ở Hàn Quốc</w:t>
            </w:r>
            <w:r w:rsidRPr="00F30F76">
              <w:rPr>
                <w:rFonts w:ascii="Times New Roman" w:hAnsi="Times New Roman"/>
                <w:bCs/>
                <w:iCs/>
                <w:sz w:val="24"/>
                <w:szCs w:val="24"/>
                <w:lang w:val="nl-NL"/>
              </w:rPr>
              <w:t xml:space="preserve">. </w:t>
            </w:r>
          </w:p>
        </w:tc>
      </w:tr>
    </w:tbl>
    <w:p w14:paraId="4E9BF7A0" w14:textId="77777777" w:rsidR="00122962" w:rsidRPr="001C531F" w:rsidRDefault="00122962" w:rsidP="00122962">
      <w:pPr>
        <w:spacing w:after="160" w:line="259" w:lineRule="auto"/>
        <w:rPr>
          <w:rFonts w:ascii="Times New Roman" w:hAnsi="Times New Roman"/>
          <w:sz w:val="24"/>
          <w:szCs w:val="24"/>
          <w:lang w:val="nl-NL"/>
        </w:rPr>
      </w:pPr>
    </w:p>
    <w:p w14:paraId="50779CC0" w14:textId="77777777" w:rsidR="00122962" w:rsidRPr="001C531F" w:rsidRDefault="00122962" w:rsidP="00122962">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 Ban Đại diện Quỹ</w:t>
      </w:r>
    </w:p>
    <w:p w14:paraId="17C5539C" w14:textId="77777777" w:rsidR="00122962" w:rsidRPr="001C531F" w:rsidRDefault="00122962" w:rsidP="00122962">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122962" w:rsidRPr="001C531F" w14:paraId="3CE5CACA" w14:textId="77777777" w:rsidTr="00553348">
        <w:tc>
          <w:tcPr>
            <w:tcW w:w="2970" w:type="dxa"/>
          </w:tcPr>
          <w:p w14:paraId="082543B1" w14:textId="77777777" w:rsidR="00122962" w:rsidRPr="001C531F" w:rsidRDefault="00122962" w:rsidP="00553348">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18A2A3BC" w14:textId="77777777" w:rsidR="00122962" w:rsidRPr="001C531F" w:rsidRDefault="00122962" w:rsidP="00553348">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3270333F" w14:textId="77777777" w:rsidR="00122962" w:rsidRPr="001C531F" w:rsidRDefault="00122962" w:rsidP="00553348">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156ACA76" w14:textId="77777777" w:rsidR="00122962" w:rsidRPr="001C531F" w:rsidRDefault="00122962" w:rsidP="00553348">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w:t>
            </w:r>
            <w:r w:rsidRPr="001C531F">
              <w:rPr>
                <w:rFonts w:ascii="Times New Roman" w:hAnsi="Times New Roman"/>
                <w:sz w:val="24"/>
                <w:szCs w:val="24"/>
                <w:lang w:val="nl-NL"/>
              </w:rPr>
              <w:lastRenderedPageBreak/>
              <w:t>(“VASB”). Trước khi gia nhập HSC, ông đã có bốn (4) năm làm việc tại Quỹ Đầu tư Phát triển Đô thị Thành phố Hồ Chí Minh (“HIFU”) với vị trí Trưởng phòng ủy thác.</w:t>
            </w:r>
          </w:p>
        </w:tc>
      </w:tr>
      <w:tr w:rsidR="00122962" w:rsidRPr="001C531F" w14:paraId="487B421F" w14:textId="77777777" w:rsidTr="00553348">
        <w:tc>
          <w:tcPr>
            <w:tcW w:w="2970" w:type="dxa"/>
          </w:tcPr>
          <w:p w14:paraId="56A16A84" w14:textId="77777777" w:rsidR="00122962" w:rsidRPr="001C531F" w:rsidRDefault="00122962" w:rsidP="00553348">
            <w:pPr>
              <w:spacing w:after="0"/>
              <w:rPr>
                <w:rFonts w:ascii="Times New Roman" w:hAnsi="Times New Roman"/>
                <w:b/>
                <w:bCs/>
                <w:iCs/>
                <w:sz w:val="24"/>
                <w:szCs w:val="24"/>
                <w:lang w:val="nl-NL"/>
              </w:rPr>
            </w:pPr>
            <w:r w:rsidRPr="001C531F">
              <w:rPr>
                <w:rFonts w:ascii="Times New Roman" w:hAnsi="Times New Roman"/>
                <w:b/>
                <w:bCs/>
                <w:iCs/>
                <w:sz w:val="24"/>
                <w:szCs w:val="24"/>
                <w:lang w:val="nl-NL"/>
              </w:rPr>
              <w:lastRenderedPageBreak/>
              <w:t>Ông Huỳnh Văn Dũng</w:t>
            </w:r>
          </w:p>
          <w:p w14:paraId="09804091" w14:textId="77777777" w:rsidR="00122962" w:rsidRPr="001C531F" w:rsidRDefault="00122962" w:rsidP="00553348">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1839C2C2" w14:textId="77777777" w:rsidR="00122962" w:rsidRPr="001C531F" w:rsidRDefault="00122962" w:rsidP="00553348">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7AF15C46" w14:textId="77777777" w:rsidR="00122962" w:rsidRPr="001C531F" w:rsidRDefault="00122962" w:rsidP="00553348">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186DD46E" w14:textId="77777777" w:rsidR="00122962" w:rsidRPr="001C531F" w:rsidRDefault="00122962" w:rsidP="00553348">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122962" w:rsidRPr="001C531F" w14:paraId="0EB92C76" w14:textId="77777777" w:rsidTr="00553348">
        <w:tc>
          <w:tcPr>
            <w:tcW w:w="2970" w:type="dxa"/>
          </w:tcPr>
          <w:p w14:paraId="3BA48803" w14:textId="77777777" w:rsidR="00122962" w:rsidRPr="001C531F" w:rsidRDefault="00122962" w:rsidP="00553348">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3202B262" w14:textId="77777777" w:rsidR="00122962" w:rsidRPr="001C531F" w:rsidRDefault="00122962" w:rsidP="00553348">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2C822488" w14:textId="77777777" w:rsidR="00122962" w:rsidRPr="001C531F" w:rsidRDefault="00122962" w:rsidP="00553348">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Công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17C04176" w14:textId="77777777" w:rsidR="00122962" w:rsidRPr="001C531F" w:rsidRDefault="00122962" w:rsidP="00553348">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Việt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Công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Các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r>
              <w:rPr>
                <w:rFonts w:ascii="Times New Roman" w:hAnsi="Times New Roman"/>
                <w:sz w:val="24"/>
                <w:szCs w:val="24"/>
              </w:rPr>
              <w:t>12</w:t>
            </w:r>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459C0D5B" w14:textId="77777777" w:rsidR="00122962" w:rsidRPr="001C531F" w:rsidRDefault="00122962" w:rsidP="00553348">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Thương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Quốc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Trường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Đoàn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w:t>
            </w:r>
            <w:r>
              <w:rPr>
                <w:rFonts w:ascii="Times New Roman" w:hAnsi="Times New Roman"/>
                <w:sz w:val="24"/>
                <w:szCs w:val="24"/>
              </w:rPr>
              <w:t xml:space="preserve">, Việt Nam;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Châu Á – Thái Bình Dương</w:t>
            </w:r>
            <w:r w:rsidRPr="001C531F">
              <w:rPr>
                <w:rFonts w:ascii="Times New Roman" w:hAnsi="Times New Roman"/>
                <w:sz w:val="24"/>
                <w:szCs w:val="24"/>
              </w:rPr>
              <w:t>.</w:t>
            </w:r>
          </w:p>
        </w:tc>
      </w:tr>
    </w:tbl>
    <w:p w14:paraId="0B24B535" w14:textId="1AA1A70F"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2D0EDF">
        <w:rPr>
          <w:rFonts w:ascii="Times New Roman" w:eastAsia="Times New Roman" w:hAnsi="Times New Roman"/>
          <w:i/>
          <w:sz w:val="24"/>
          <w:szCs w:val="24"/>
          <w:lang w:val="nl-NL"/>
        </w:rPr>
        <w:t>14</w:t>
      </w:r>
      <w:r w:rsidRPr="001C531F">
        <w:rPr>
          <w:rFonts w:ascii="Times New Roman" w:eastAsia="Times New Roman" w:hAnsi="Times New Roman"/>
          <w:i/>
          <w:sz w:val="24"/>
          <w:szCs w:val="24"/>
          <w:lang w:val="nl-NL"/>
        </w:rPr>
        <w:t xml:space="preserve"> tháng </w:t>
      </w:r>
      <w:r w:rsidR="002D0EDF">
        <w:rPr>
          <w:rFonts w:ascii="Times New Roman" w:eastAsia="Times New Roman" w:hAnsi="Times New Roman"/>
          <w:i/>
          <w:sz w:val="24"/>
          <w:szCs w:val="24"/>
          <w:lang w:val="nl-NL"/>
        </w:rPr>
        <w:t>01</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2D0EDF">
        <w:rPr>
          <w:rFonts w:ascii="Times New Roman" w:eastAsia="Times New Roman" w:hAnsi="Times New Roman"/>
          <w:i/>
          <w:sz w:val="24"/>
          <w:szCs w:val="24"/>
          <w:lang w:val="nl-NL"/>
        </w:rPr>
        <w:t>5</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2"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6"/>
  </w:num>
  <w:num w:numId="5" w16cid:durableId="703869931">
    <w:abstractNumId w:val="15"/>
  </w:num>
  <w:num w:numId="6" w16cid:durableId="619924051">
    <w:abstractNumId w:val="3"/>
  </w:num>
  <w:num w:numId="7" w16cid:durableId="485123547">
    <w:abstractNumId w:val="13"/>
  </w:num>
  <w:num w:numId="8" w16cid:durableId="805858946">
    <w:abstractNumId w:val="12"/>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4"/>
  </w:num>
  <w:num w:numId="15" w16cid:durableId="534853972">
    <w:abstractNumId w:val="0"/>
  </w:num>
  <w:num w:numId="16" w16cid:durableId="2067296686">
    <w:abstractNumId w:val="11"/>
  </w:num>
  <w:num w:numId="17" w16cid:durableId="1861624651">
    <w:abstractNumId w:val="17"/>
  </w:num>
  <w:num w:numId="18" w16cid:durableId="1765303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22ABF"/>
    <w:rsid w:val="00056F20"/>
    <w:rsid w:val="000600E0"/>
    <w:rsid w:val="00062055"/>
    <w:rsid w:val="00067EB2"/>
    <w:rsid w:val="0008741A"/>
    <w:rsid w:val="00087AE7"/>
    <w:rsid w:val="00091CAB"/>
    <w:rsid w:val="000B61D8"/>
    <w:rsid w:val="000B6A13"/>
    <w:rsid w:val="000C014D"/>
    <w:rsid w:val="000C4474"/>
    <w:rsid w:val="000C79F8"/>
    <w:rsid w:val="000D074B"/>
    <w:rsid w:val="000D3A01"/>
    <w:rsid w:val="000D7D55"/>
    <w:rsid w:val="000E0AED"/>
    <w:rsid w:val="000E0EF3"/>
    <w:rsid w:val="000E3B0B"/>
    <w:rsid w:val="000E5FE9"/>
    <w:rsid w:val="000F2123"/>
    <w:rsid w:val="000F33CC"/>
    <w:rsid w:val="000F601D"/>
    <w:rsid w:val="00107953"/>
    <w:rsid w:val="00116153"/>
    <w:rsid w:val="00116322"/>
    <w:rsid w:val="00122962"/>
    <w:rsid w:val="00123825"/>
    <w:rsid w:val="001247A8"/>
    <w:rsid w:val="00131315"/>
    <w:rsid w:val="00137C1F"/>
    <w:rsid w:val="00146B71"/>
    <w:rsid w:val="00151BC4"/>
    <w:rsid w:val="00162951"/>
    <w:rsid w:val="001660FB"/>
    <w:rsid w:val="00170565"/>
    <w:rsid w:val="00173630"/>
    <w:rsid w:val="0017714B"/>
    <w:rsid w:val="0019206F"/>
    <w:rsid w:val="001966AE"/>
    <w:rsid w:val="001B0B30"/>
    <w:rsid w:val="001B1BE2"/>
    <w:rsid w:val="001B784B"/>
    <w:rsid w:val="001C4B96"/>
    <w:rsid w:val="001C531F"/>
    <w:rsid w:val="001D49A9"/>
    <w:rsid w:val="001E290F"/>
    <w:rsid w:val="001E3A51"/>
    <w:rsid w:val="001E40A2"/>
    <w:rsid w:val="001E4811"/>
    <w:rsid w:val="00220EA1"/>
    <w:rsid w:val="002243DA"/>
    <w:rsid w:val="002333C6"/>
    <w:rsid w:val="00244C64"/>
    <w:rsid w:val="00245818"/>
    <w:rsid w:val="00251E2B"/>
    <w:rsid w:val="0026620B"/>
    <w:rsid w:val="00270628"/>
    <w:rsid w:val="0028333D"/>
    <w:rsid w:val="002841FF"/>
    <w:rsid w:val="002A14C7"/>
    <w:rsid w:val="002D0EDF"/>
    <w:rsid w:val="002D4C06"/>
    <w:rsid w:val="002E1952"/>
    <w:rsid w:val="002E4941"/>
    <w:rsid w:val="002E6ADD"/>
    <w:rsid w:val="0031000A"/>
    <w:rsid w:val="00312536"/>
    <w:rsid w:val="00315A8E"/>
    <w:rsid w:val="00324B82"/>
    <w:rsid w:val="003329D6"/>
    <w:rsid w:val="003355C3"/>
    <w:rsid w:val="00337B9E"/>
    <w:rsid w:val="003630C7"/>
    <w:rsid w:val="00363C83"/>
    <w:rsid w:val="00370231"/>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763AC"/>
    <w:rsid w:val="0049490C"/>
    <w:rsid w:val="00494F7E"/>
    <w:rsid w:val="004C3F63"/>
    <w:rsid w:val="004C7F20"/>
    <w:rsid w:val="004D0EF7"/>
    <w:rsid w:val="004E41BD"/>
    <w:rsid w:val="00503EB5"/>
    <w:rsid w:val="0050773F"/>
    <w:rsid w:val="00515BCA"/>
    <w:rsid w:val="0052162A"/>
    <w:rsid w:val="00521B61"/>
    <w:rsid w:val="00521F76"/>
    <w:rsid w:val="00523419"/>
    <w:rsid w:val="0052502D"/>
    <w:rsid w:val="005256D6"/>
    <w:rsid w:val="0053737B"/>
    <w:rsid w:val="00540D17"/>
    <w:rsid w:val="00551946"/>
    <w:rsid w:val="00551DCB"/>
    <w:rsid w:val="00572F1B"/>
    <w:rsid w:val="00583CD5"/>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353E3"/>
    <w:rsid w:val="0064290A"/>
    <w:rsid w:val="00667B4C"/>
    <w:rsid w:val="006750E8"/>
    <w:rsid w:val="00676F73"/>
    <w:rsid w:val="00677949"/>
    <w:rsid w:val="00683BFB"/>
    <w:rsid w:val="006902A3"/>
    <w:rsid w:val="00692068"/>
    <w:rsid w:val="006A5246"/>
    <w:rsid w:val="006B2F2D"/>
    <w:rsid w:val="006D2701"/>
    <w:rsid w:val="006D6A1B"/>
    <w:rsid w:val="006E404A"/>
    <w:rsid w:val="006F1519"/>
    <w:rsid w:val="006F7015"/>
    <w:rsid w:val="00701DBC"/>
    <w:rsid w:val="00713CC7"/>
    <w:rsid w:val="007316AB"/>
    <w:rsid w:val="00736123"/>
    <w:rsid w:val="00747879"/>
    <w:rsid w:val="00753C12"/>
    <w:rsid w:val="00756A76"/>
    <w:rsid w:val="00761EF8"/>
    <w:rsid w:val="00763691"/>
    <w:rsid w:val="00764C46"/>
    <w:rsid w:val="00770D54"/>
    <w:rsid w:val="007808C8"/>
    <w:rsid w:val="00790BCF"/>
    <w:rsid w:val="00792A48"/>
    <w:rsid w:val="00796131"/>
    <w:rsid w:val="007A2D4E"/>
    <w:rsid w:val="007B289D"/>
    <w:rsid w:val="007C5B05"/>
    <w:rsid w:val="007C79FA"/>
    <w:rsid w:val="007D2633"/>
    <w:rsid w:val="007D78F7"/>
    <w:rsid w:val="008001E9"/>
    <w:rsid w:val="00804BBD"/>
    <w:rsid w:val="00807726"/>
    <w:rsid w:val="00816829"/>
    <w:rsid w:val="00826BB2"/>
    <w:rsid w:val="00830EAF"/>
    <w:rsid w:val="0083372E"/>
    <w:rsid w:val="00860234"/>
    <w:rsid w:val="00860A96"/>
    <w:rsid w:val="00865F01"/>
    <w:rsid w:val="008707C6"/>
    <w:rsid w:val="008731A7"/>
    <w:rsid w:val="00883039"/>
    <w:rsid w:val="008939A1"/>
    <w:rsid w:val="008971AB"/>
    <w:rsid w:val="008B61F4"/>
    <w:rsid w:val="008B6A57"/>
    <w:rsid w:val="008D629B"/>
    <w:rsid w:val="008E75CF"/>
    <w:rsid w:val="008F2B2D"/>
    <w:rsid w:val="008F3818"/>
    <w:rsid w:val="00906467"/>
    <w:rsid w:val="00912E19"/>
    <w:rsid w:val="00917147"/>
    <w:rsid w:val="00922567"/>
    <w:rsid w:val="0093157F"/>
    <w:rsid w:val="0093357C"/>
    <w:rsid w:val="00934DEA"/>
    <w:rsid w:val="00935B7F"/>
    <w:rsid w:val="00951176"/>
    <w:rsid w:val="00963F44"/>
    <w:rsid w:val="009648A6"/>
    <w:rsid w:val="0096793F"/>
    <w:rsid w:val="00971F5D"/>
    <w:rsid w:val="0097528B"/>
    <w:rsid w:val="00981F7A"/>
    <w:rsid w:val="009822C1"/>
    <w:rsid w:val="00982758"/>
    <w:rsid w:val="00985B28"/>
    <w:rsid w:val="0099238D"/>
    <w:rsid w:val="009A387A"/>
    <w:rsid w:val="009A6DFD"/>
    <w:rsid w:val="009B2282"/>
    <w:rsid w:val="009C5637"/>
    <w:rsid w:val="009C75C6"/>
    <w:rsid w:val="009D7171"/>
    <w:rsid w:val="009F4856"/>
    <w:rsid w:val="009F4E9A"/>
    <w:rsid w:val="00A04A2C"/>
    <w:rsid w:val="00A05C91"/>
    <w:rsid w:val="00A062A9"/>
    <w:rsid w:val="00A27B9B"/>
    <w:rsid w:val="00A377D1"/>
    <w:rsid w:val="00A42F64"/>
    <w:rsid w:val="00A474F7"/>
    <w:rsid w:val="00A56AD1"/>
    <w:rsid w:val="00A6592B"/>
    <w:rsid w:val="00A74B5D"/>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2B88"/>
    <w:rsid w:val="00B0433F"/>
    <w:rsid w:val="00B10F95"/>
    <w:rsid w:val="00B11087"/>
    <w:rsid w:val="00B16AFD"/>
    <w:rsid w:val="00B17BB1"/>
    <w:rsid w:val="00B31181"/>
    <w:rsid w:val="00B32217"/>
    <w:rsid w:val="00B32E8D"/>
    <w:rsid w:val="00B354D5"/>
    <w:rsid w:val="00B458D1"/>
    <w:rsid w:val="00B45DF7"/>
    <w:rsid w:val="00B6043B"/>
    <w:rsid w:val="00B63DD9"/>
    <w:rsid w:val="00B71CB5"/>
    <w:rsid w:val="00B83A7D"/>
    <w:rsid w:val="00B86E66"/>
    <w:rsid w:val="00B97429"/>
    <w:rsid w:val="00B97B26"/>
    <w:rsid w:val="00BA0C8D"/>
    <w:rsid w:val="00BA4D7F"/>
    <w:rsid w:val="00BB5BB3"/>
    <w:rsid w:val="00BC67FC"/>
    <w:rsid w:val="00BD079F"/>
    <w:rsid w:val="00BD0B0A"/>
    <w:rsid w:val="00BE1598"/>
    <w:rsid w:val="00BE6F63"/>
    <w:rsid w:val="00BF44CF"/>
    <w:rsid w:val="00BF6F51"/>
    <w:rsid w:val="00C20E83"/>
    <w:rsid w:val="00C2213C"/>
    <w:rsid w:val="00C326B2"/>
    <w:rsid w:val="00C3684A"/>
    <w:rsid w:val="00C41CA6"/>
    <w:rsid w:val="00C45ACF"/>
    <w:rsid w:val="00C5103F"/>
    <w:rsid w:val="00C527C7"/>
    <w:rsid w:val="00C5765C"/>
    <w:rsid w:val="00C6695F"/>
    <w:rsid w:val="00C8344A"/>
    <w:rsid w:val="00C95B10"/>
    <w:rsid w:val="00CA76CF"/>
    <w:rsid w:val="00CB2F1D"/>
    <w:rsid w:val="00CC061A"/>
    <w:rsid w:val="00CC67A1"/>
    <w:rsid w:val="00CD495C"/>
    <w:rsid w:val="00CE2A36"/>
    <w:rsid w:val="00D10122"/>
    <w:rsid w:val="00D11DF9"/>
    <w:rsid w:val="00D135E8"/>
    <w:rsid w:val="00D1570B"/>
    <w:rsid w:val="00D25F1B"/>
    <w:rsid w:val="00D41C61"/>
    <w:rsid w:val="00D55232"/>
    <w:rsid w:val="00D66826"/>
    <w:rsid w:val="00D85C46"/>
    <w:rsid w:val="00DA101D"/>
    <w:rsid w:val="00DA30AE"/>
    <w:rsid w:val="00DC1FD1"/>
    <w:rsid w:val="00DD23A1"/>
    <w:rsid w:val="00DE004E"/>
    <w:rsid w:val="00DE2EB9"/>
    <w:rsid w:val="00DF533C"/>
    <w:rsid w:val="00E0018A"/>
    <w:rsid w:val="00E0138A"/>
    <w:rsid w:val="00E03D4B"/>
    <w:rsid w:val="00E11368"/>
    <w:rsid w:val="00E11ADF"/>
    <w:rsid w:val="00E128F3"/>
    <w:rsid w:val="00E172E4"/>
    <w:rsid w:val="00E24141"/>
    <w:rsid w:val="00E32BB9"/>
    <w:rsid w:val="00E37404"/>
    <w:rsid w:val="00E41DE8"/>
    <w:rsid w:val="00E47954"/>
    <w:rsid w:val="00E53446"/>
    <w:rsid w:val="00E630D3"/>
    <w:rsid w:val="00E73EAD"/>
    <w:rsid w:val="00E74ED3"/>
    <w:rsid w:val="00E75C22"/>
    <w:rsid w:val="00E92101"/>
    <w:rsid w:val="00E92263"/>
    <w:rsid w:val="00E95030"/>
    <w:rsid w:val="00E95858"/>
    <w:rsid w:val="00EA03A4"/>
    <w:rsid w:val="00EA3973"/>
    <w:rsid w:val="00EB6AB2"/>
    <w:rsid w:val="00EB7C98"/>
    <w:rsid w:val="00EC1DDD"/>
    <w:rsid w:val="00ED1DF2"/>
    <w:rsid w:val="00ED4A9C"/>
    <w:rsid w:val="00EE2193"/>
    <w:rsid w:val="00EE3F61"/>
    <w:rsid w:val="00EF41E2"/>
    <w:rsid w:val="00EF4FDB"/>
    <w:rsid w:val="00EF622A"/>
    <w:rsid w:val="00EF773E"/>
    <w:rsid w:val="00F00511"/>
    <w:rsid w:val="00F01A1F"/>
    <w:rsid w:val="00F04EB6"/>
    <w:rsid w:val="00F11A59"/>
    <w:rsid w:val="00F1677D"/>
    <w:rsid w:val="00F23C43"/>
    <w:rsid w:val="00F34FB9"/>
    <w:rsid w:val="00F56D83"/>
    <w:rsid w:val="00F72260"/>
    <w:rsid w:val="00F759E4"/>
    <w:rsid w:val="00F87339"/>
    <w:rsid w:val="00F948B4"/>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 w:type="character" w:customStyle="1" w:styleId="ui-provider">
    <w:name w:val="ui-provider"/>
    <w:basedOn w:val="DefaultParagraphFont"/>
    <w:rsid w:val="009C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00.DFVN-FIX\1.REPORTS\2024\2024Q4\TT181-consolidated\TT181-Calculation_Q4.2024%20D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'NAV follow-up HSBC'!$M$1</c:f>
              <c:strCache>
                <c:ptCount val="1"/>
                <c:pt idx="0">
                  <c:v> NAV/CCQ </c:v>
                </c:pt>
              </c:strCache>
            </c:strRef>
          </c:tx>
          <c:spPr>
            <a:ln w="28575" cap="rnd">
              <a:solidFill>
                <a:schemeClr val="accent1"/>
              </a:solidFill>
              <a:round/>
            </a:ln>
            <a:effectLst/>
          </c:spPr>
          <c:marker>
            <c:symbol val="none"/>
          </c:marker>
          <c:cat>
            <c:numRef>
              <c:f>'NAV follow-up HSBC'!$L$2:$L$240</c:f>
              <c:numCache>
                <c:formatCode>d\-mmm</c:formatCode>
                <c:ptCount val="239"/>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pt idx="208">
                  <c:v>45474</c:v>
                </c:pt>
                <c:pt idx="209">
                  <c:v>45481</c:v>
                </c:pt>
                <c:pt idx="210">
                  <c:v>45488</c:v>
                </c:pt>
                <c:pt idx="211">
                  <c:v>45495</c:v>
                </c:pt>
                <c:pt idx="212">
                  <c:v>45502</c:v>
                </c:pt>
                <c:pt idx="213">
                  <c:v>45504</c:v>
                </c:pt>
                <c:pt idx="214">
                  <c:v>45509</c:v>
                </c:pt>
                <c:pt idx="215">
                  <c:v>45516</c:v>
                </c:pt>
                <c:pt idx="216">
                  <c:v>45523</c:v>
                </c:pt>
                <c:pt idx="217">
                  <c:v>45530</c:v>
                </c:pt>
                <c:pt idx="218">
                  <c:v>45535</c:v>
                </c:pt>
                <c:pt idx="219">
                  <c:v>45544</c:v>
                </c:pt>
                <c:pt idx="220">
                  <c:v>45551</c:v>
                </c:pt>
                <c:pt idx="221">
                  <c:v>45558</c:v>
                </c:pt>
                <c:pt idx="222">
                  <c:v>45565</c:v>
                </c:pt>
                <c:pt idx="223">
                  <c:v>45572</c:v>
                </c:pt>
                <c:pt idx="224">
                  <c:v>45579</c:v>
                </c:pt>
                <c:pt idx="225">
                  <c:v>45586</c:v>
                </c:pt>
                <c:pt idx="226">
                  <c:v>45593</c:v>
                </c:pt>
                <c:pt idx="227">
                  <c:v>45596</c:v>
                </c:pt>
                <c:pt idx="228">
                  <c:v>45600</c:v>
                </c:pt>
                <c:pt idx="229">
                  <c:v>45607</c:v>
                </c:pt>
                <c:pt idx="230">
                  <c:v>45614</c:v>
                </c:pt>
                <c:pt idx="231">
                  <c:v>45621</c:v>
                </c:pt>
                <c:pt idx="232">
                  <c:v>45626</c:v>
                </c:pt>
                <c:pt idx="233">
                  <c:v>45628</c:v>
                </c:pt>
                <c:pt idx="234">
                  <c:v>45635</c:v>
                </c:pt>
                <c:pt idx="235">
                  <c:v>45642</c:v>
                </c:pt>
                <c:pt idx="236">
                  <c:v>45649</c:v>
                </c:pt>
                <c:pt idx="237">
                  <c:v>45656</c:v>
                </c:pt>
                <c:pt idx="238">
                  <c:v>45657</c:v>
                </c:pt>
              </c:numCache>
            </c:numRef>
          </c:cat>
          <c:val>
            <c:numRef>
              <c:f>'NAV follow-up HSBC'!$M$2:$M$240</c:f>
              <c:numCache>
                <c:formatCode>_(* #,##0.00_);_(* \(#,##0.00\);_(* "-"??_);_(@_)</c:formatCode>
                <c:ptCount val="239"/>
                <c:pt idx="0" formatCode="_-* #,##0.00\ _₫_-;\-* #,##0.00\ _₫_-;_-* &quot;-&quot;??\ _₫_-;_-@_-">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pt idx="162">
                  <c:v>11025.62</c:v>
                </c:pt>
                <c:pt idx="163">
                  <c:v>11033.02</c:v>
                </c:pt>
                <c:pt idx="164">
                  <c:v>11052.39</c:v>
                </c:pt>
                <c:pt idx="165">
                  <c:v>11050.32</c:v>
                </c:pt>
                <c:pt idx="166">
                  <c:v>11075.2</c:v>
                </c:pt>
                <c:pt idx="167">
                  <c:v>11077.25</c:v>
                </c:pt>
                <c:pt idx="168">
                  <c:v>10982.51</c:v>
                </c:pt>
                <c:pt idx="169">
                  <c:v>11108.17</c:v>
                </c:pt>
                <c:pt idx="170">
                  <c:v>10968.54</c:v>
                </c:pt>
                <c:pt idx="171">
                  <c:v>10973.55</c:v>
                </c:pt>
                <c:pt idx="172">
                  <c:v>10975.12</c:v>
                </c:pt>
                <c:pt idx="173">
                  <c:v>10987.17</c:v>
                </c:pt>
                <c:pt idx="174">
                  <c:v>10991.12</c:v>
                </c:pt>
                <c:pt idx="175">
                  <c:v>10988.46</c:v>
                </c:pt>
                <c:pt idx="176">
                  <c:v>11017.72</c:v>
                </c:pt>
                <c:pt idx="177">
                  <c:v>11024.66</c:v>
                </c:pt>
                <c:pt idx="178">
                  <c:v>11026.11</c:v>
                </c:pt>
                <c:pt idx="179">
                  <c:v>11027.16</c:v>
                </c:pt>
                <c:pt idx="180">
                  <c:v>10921.72</c:v>
                </c:pt>
                <c:pt idx="181">
                  <c:v>10916.59</c:v>
                </c:pt>
                <c:pt idx="182">
                  <c:v>10916.61</c:v>
                </c:pt>
                <c:pt idx="183">
                  <c:v>11049.37</c:v>
                </c:pt>
                <c:pt idx="184">
                  <c:v>11056.6</c:v>
                </c:pt>
                <c:pt idx="185">
                  <c:v>11107.71</c:v>
                </c:pt>
                <c:pt idx="186">
                  <c:v>11086.55</c:v>
                </c:pt>
                <c:pt idx="187">
                  <c:v>11087.04</c:v>
                </c:pt>
                <c:pt idx="188">
                  <c:v>11092.02</c:v>
                </c:pt>
                <c:pt idx="189">
                  <c:v>11092.26</c:v>
                </c:pt>
                <c:pt idx="190">
                  <c:v>11075.99</c:v>
                </c:pt>
                <c:pt idx="191">
                  <c:v>11109.75</c:v>
                </c:pt>
                <c:pt idx="192">
                  <c:v>11088.48</c:v>
                </c:pt>
                <c:pt idx="193">
                  <c:v>11125.63</c:v>
                </c:pt>
                <c:pt idx="194">
                  <c:v>11134.1</c:v>
                </c:pt>
                <c:pt idx="195">
                  <c:v>11135.33</c:v>
                </c:pt>
                <c:pt idx="196">
                  <c:v>11118.8</c:v>
                </c:pt>
                <c:pt idx="197">
                  <c:v>11106.36</c:v>
                </c:pt>
                <c:pt idx="198">
                  <c:v>11111.31</c:v>
                </c:pt>
                <c:pt idx="199">
                  <c:v>11146.97</c:v>
                </c:pt>
                <c:pt idx="200">
                  <c:v>11160.96</c:v>
                </c:pt>
                <c:pt idx="201">
                  <c:v>11141.72</c:v>
                </c:pt>
                <c:pt idx="202">
                  <c:v>11162.62</c:v>
                </c:pt>
                <c:pt idx="203">
                  <c:v>11181.2</c:v>
                </c:pt>
                <c:pt idx="204">
                  <c:v>11180.9</c:v>
                </c:pt>
                <c:pt idx="205">
                  <c:v>11193.89</c:v>
                </c:pt>
                <c:pt idx="206">
                  <c:v>11200.36</c:v>
                </c:pt>
                <c:pt idx="207">
                  <c:v>11194.89</c:v>
                </c:pt>
                <c:pt idx="208">
                  <c:v>11192.51</c:v>
                </c:pt>
                <c:pt idx="209">
                  <c:v>11207.4</c:v>
                </c:pt>
                <c:pt idx="210">
                  <c:v>11214.52</c:v>
                </c:pt>
                <c:pt idx="211">
                  <c:v>11217.28</c:v>
                </c:pt>
                <c:pt idx="212">
                  <c:v>11224.3</c:v>
                </c:pt>
                <c:pt idx="213">
                  <c:v>11226.91</c:v>
                </c:pt>
                <c:pt idx="214">
                  <c:v>11232.13</c:v>
                </c:pt>
                <c:pt idx="215">
                  <c:v>11244.9</c:v>
                </c:pt>
                <c:pt idx="216">
                  <c:v>11251.09</c:v>
                </c:pt>
                <c:pt idx="217">
                  <c:v>11234.67</c:v>
                </c:pt>
                <c:pt idx="218">
                  <c:v>11236.94</c:v>
                </c:pt>
                <c:pt idx="219">
                  <c:v>11233.13</c:v>
                </c:pt>
                <c:pt idx="220">
                  <c:v>11273.97</c:v>
                </c:pt>
                <c:pt idx="221">
                  <c:v>11285.81</c:v>
                </c:pt>
                <c:pt idx="222">
                  <c:v>11263.39</c:v>
                </c:pt>
                <c:pt idx="223">
                  <c:v>11269.52</c:v>
                </c:pt>
                <c:pt idx="224">
                  <c:v>11284.24</c:v>
                </c:pt>
                <c:pt idx="225">
                  <c:v>11314.73</c:v>
                </c:pt>
                <c:pt idx="226">
                  <c:v>11315.98</c:v>
                </c:pt>
                <c:pt idx="227">
                  <c:v>11313.31</c:v>
                </c:pt>
                <c:pt idx="228">
                  <c:v>11334.42</c:v>
                </c:pt>
                <c:pt idx="229">
                  <c:v>11339.02</c:v>
                </c:pt>
                <c:pt idx="230">
                  <c:v>11345.31</c:v>
                </c:pt>
                <c:pt idx="231">
                  <c:v>11355.12</c:v>
                </c:pt>
                <c:pt idx="232">
                  <c:v>11358.63</c:v>
                </c:pt>
                <c:pt idx="233">
                  <c:v>11362.29</c:v>
                </c:pt>
                <c:pt idx="234">
                  <c:v>11358.71</c:v>
                </c:pt>
                <c:pt idx="235">
                  <c:v>11367.68</c:v>
                </c:pt>
                <c:pt idx="236">
                  <c:v>11357.8</c:v>
                </c:pt>
                <c:pt idx="237">
                  <c:v>11362.53</c:v>
                </c:pt>
                <c:pt idx="238">
                  <c:v>11378.07</c:v>
                </c:pt>
              </c:numCache>
            </c:numRef>
          </c:val>
          <c:smooth val="0"/>
          <c:extLst>
            <c:ext xmlns:c16="http://schemas.microsoft.com/office/drawing/2014/chart" uri="{C3380CC4-5D6E-409C-BE32-E72D297353CC}">
              <c16:uniqueId val="{00000000-F8AE-46A7-A6CA-2F50FA99011E}"/>
            </c:ext>
          </c:extLst>
        </c:ser>
        <c:dLbls>
          <c:showLegendKey val="0"/>
          <c:showVal val="0"/>
          <c:showCatName val="0"/>
          <c:showSerName val="0"/>
          <c:showPercent val="0"/>
          <c:showBubbleSize val="0"/>
        </c:dLbls>
        <c:smooth val="0"/>
        <c:axId val="528337552"/>
        <c:axId val="528339352"/>
      </c:lineChart>
      <c:dateAx>
        <c:axId val="528337552"/>
        <c:scaling>
          <c:orientation val="minMax"/>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339352"/>
        <c:crosses val="autoZero"/>
        <c:auto val="1"/>
        <c:lblOffset val="100"/>
        <c:baseTimeUnit val="days"/>
        <c:majorUnit val="1"/>
        <c:majorTimeUnit val="months"/>
      </c:dateAx>
      <c:valAx>
        <c:axId val="528339352"/>
        <c:scaling>
          <c:orientation val="minMax"/>
        </c:scaling>
        <c:delete val="0"/>
        <c:axPos val="l"/>
        <c:majorGridlines>
          <c:spPr>
            <a:ln w="9525" cap="flat" cmpd="sng" algn="ctr">
              <a:solidFill>
                <a:schemeClr val="tx1">
                  <a:lumMod val="15000"/>
                  <a:lumOff val="85000"/>
                </a:schemeClr>
              </a:solidFill>
              <a:round/>
            </a:ln>
            <a:effectLst/>
          </c:spPr>
        </c:majorGridlines>
        <c:numFmt formatCode="_-* #,##0.00\ _₫_-;\-* #,##0.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337552"/>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q6iQiW+jml7jO42zCffiKUBBzXxKMtj4q7Q+ziVgoz4=</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ElBn364Y83zOk6u56lsIF1VHbKoBbQ8rqfPWpDivVJQ=</DigestValue>
    </Reference>
  </SignedInfo>
  <SignatureValue>PV2U5JsMWFGVKTCAnFRCu5hfzYjXZ5IbR9BsG30h5dqZ/WB7U7EHwSHFmAO5ENnAqrkDt5N8cpHd
O3zkFDfEDQ+bLe0TDCm462o2rAIT5np2+uHa9ND8Spwy1qrUUTFULpnrVg5p02HCUwcU7eNaZCtU
hGf0C9oA6N6dxYj+ZRu+9SU1ZCkrnK47rMOsUdmbdkLKY4ZIF1IUfAxXu0sHnCnP9kE0aLiUFeY6
Z/YB9pdGFz3DRyEOINdbrkKbObJldYmKEpqagfJDgKZoaKeLYBC6dNBV0bIgXxt3IkBcWs/9nPZ8
4Irff7NrOK6feaH2X+0CEqOqKZ67R+Lpxc8lXw==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hlNe86LT332dIG0mDVryxIfyNllgTCfcWFiiAXggc4s=</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bWGkxRq6ab9bKgcIHuVX+/I7MJjrz97ApX004s1D6fM=</DigestValue>
      </Reference>
      <Reference URI="/word/charts/chart1.xml?ContentType=application/vnd.openxmlformats-officedocument.drawingml.chart+xml">
        <DigestMethod Algorithm="http://www.w3.org/2001/04/xmlenc#sha256"/>
        <DigestValue>+ECoGMYssbr16rIhspuSSvPoB33hePjX16CGxZ3BCZ4=</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d82wKbhknXd6Bro4+PoLqcqUOToVt5tP0RYPr1lBxyI=</DigestValue>
      </Reference>
      <Reference URI="/word/document.xml?ContentType=application/vnd.openxmlformats-officedocument.wordprocessingml.document.main+xml">
        <DigestMethod Algorithm="http://www.w3.org/2001/04/xmlenc#sha256"/>
        <DigestValue>PQ7/hE374JGA8HTuYKleZ7QVsSiM+h/9vI5+2kA3b6g=</DigestValue>
      </Reference>
      <Reference URI="/word/fontTable.xml?ContentType=application/vnd.openxmlformats-officedocument.wordprocessingml.fontTable+xml">
        <DigestMethod Algorithm="http://www.w3.org/2001/04/xmlenc#sha256"/>
        <DigestValue>9cLWDj2fA0LwbYzI43xVdq/5xeCo2XQljH7mvdATZ0Y=</DigestValue>
      </Reference>
      <Reference URI="/word/numbering.xml?ContentType=application/vnd.openxmlformats-officedocument.wordprocessingml.numbering+xml">
        <DigestMethod Algorithm="http://www.w3.org/2001/04/xmlenc#sha256"/>
        <DigestValue>oYCAOd508C3l1VWF/c5cANdNwC9iZs0+8iX+8HmF0EA=</DigestValue>
      </Reference>
      <Reference URI="/word/settings.xml?ContentType=application/vnd.openxmlformats-officedocument.wordprocessingml.settings+xml">
        <DigestMethod Algorithm="http://www.w3.org/2001/04/xmlenc#sha256"/>
        <DigestValue>uKVEyWAmEai55o8YkUyKaKm27bUMAuEUHuTwozNn0Lw=</DigestValue>
      </Reference>
      <Reference URI="/word/styles.xml?ContentType=application/vnd.openxmlformats-officedocument.wordprocessingml.styles+xml">
        <DigestMethod Algorithm="http://www.w3.org/2001/04/xmlenc#sha256"/>
        <DigestValue>O5HeVMico3K4hjFRubRRUN5MHuPoucQeOTak+Hfb3eE=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ntM+kfquIXgU8KMMTYA00VU/dbxGdSq90XOX5YvqLRA=</DigestValue>
      </Reference>
    </Manifest>
    <SignatureProperties>
      <SignatureProperty Id="idSignatureTime" Target="#idPackageSignature">
        <mdssi:SignatureTime xmlns:mdssi="http://schemas.openxmlformats.org/package/2006/digital-signature">
          <mdssi:Format>YYYY-MM-DDThh:mm:ssTZD</mdssi:Format>
          <mdssi:Value>2025-01-14T12:08:05Z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2025-01-14T12:08:05Z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56</cp:revision>
  <dcterms:created xsi:type="dcterms:W3CDTF">2023-04-11T14:07:00Z</dcterms:created>
  <dcterms:modified xsi:type="dcterms:W3CDTF">2025-01-14T11:59:00Z</dcterms:modified>
</cp:coreProperties>
</file>