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A5B7" w14:textId="51188A97" w:rsidR="003E3D5C" w:rsidRPr="00315A8E" w:rsidRDefault="003E3D5C" w:rsidP="000B0C18">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P</w:t>
      </w:r>
      <w:r w:rsidR="006E6210">
        <w:rPr>
          <w:rFonts w:ascii="Times New Roman" w:hAnsi="Times New Roman"/>
          <w:b/>
          <w:sz w:val="24"/>
          <w:szCs w:val="24"/>
          <w:lang w:val="nl-NL"/>
        </w:rPr>
        <w:t>art</w:t>
      </w:r>
      <w:r w:rsidRPr="00315A8E">
        <w:rPr>
          <w:rFonts w:ascii="Times New Roman" w:hAnsi="Times New Roman"/>
          <w:b/>
          <w:sz w:val="24"/>
          <w:szCs w:val="24"/>
          <w:lang w:val="nl-NL"/>
        </w:rPr>
        <w:t xml:space="preserve"> I: </w:t>
      </w:r>
      <w:r w:rsidR="006E6210">
        <w:rPr>
          <w:rFonts w:ascii="Times New Roman" w:hAnsi="Times New Roman"/>
          <w:b/>
          <w:sz w:val="24"/>
          <w:szCs w:val="24"/>
          <w:lang w:val="nl-NL"/>
        </w:rPr>
        <w:t>Report of the Fund Management Company</w:t>
      </w:r>
    </w:p>
    <w:p w14:paraId="430D1FDE" w14:textId="4218BF35" w:rsidR="003E3D5C" w:rsidRPr="00315A8E" w:rsidRDefault="003E3D5C" w:rsidP="000B0C18">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w:t>
      </w:r>
      <w:r w:rsidR="00E07F3E">
        <w:rPr>
          <w:rFonts w:ascii="Times New Roman" w:hAnsi="Times New Roman"/>
          <w:b/>
          <w:sz w:val="24"/>
          <w:szCs w:val="24"/>
          <w:lang w:val="nl-NL"/>
        </w:rPr>
        <w:t>Issued in association with Circular</w:t>
      </w:r>
      <w:r w:rsidRPr="00315A8E">
        <w:rPr>
          <w:rFonts w:ascii="Times New Roman" w:hAnsi="Times New Roman"/>
          <w:b/>
          <w:sz w:val="24"/>
          <w:szCs w:val="24"/>
          <w:lang w:val="nl-NL"/>
        </w:rPr>
        <w:t xml:space="preserve"> 181/2015/TT-BTC </w:t>
      </w:r>
      <w:r w:rsidR="00E07F3E">
        <w:rPr>
          <w:rFonts w:ascii="Times New Roman" w:hAnsi="Times New Roman"/>
          <w:b/>
          <w:sz w:val="24"/>
          <w:szCs w:val="24"/>
          <w:lang w:val="nl-NL"/>
        </w:rPr>
        <w:t>dated 13 Nov 2015 of MOF</w:t>
      </w:r>
      <w:r w:rsidRPr="00315A8E">
        <w:rPr>
          <w:rFonts w:ascii="Times New Roman" w:hAnsi="Times New Roman"/>
          <w:b/>
          <w:sz w:val="24"/>
          <w:szCs w:val="24"/>
          <w:lang w:val="nl-NL"/>
        </w:rPr>
        <w:t>)</w:t>
      </w:r>
    </w:p>
    <w:p w14:paraId="698C5EF0" w14:textId="77777777" w:rsidR="003E3D5C" w:rsidRPr="00315A8E" w:rsidRDefault="003E3D5C" w:rsidP="000B0C18">
      <w:pPr>
        <w:shd w:val="clear" w:color="auto" w:fill="FFFFFF"/>
        <w:tabs>
          <w:tab w:val="left" w:pos="540"/>
        </w:tabs>
        <w:spacing w:before="120" w:after="0"/>
        <w:jc w:val="center"/>
        <w:rPr>
          <w:rFonts w:ascii="Times New Roman" w:hAnsi="Times New Roman"/>
          <w:b/>
          <w:sz w:val="24"/>
          <w:szCs w:val="24"/>
          <w:lang w:val="nl-NL"/>
        </w:rPr>
      </w:pPr>
    </w:p>
    <w:p w14:paraId="49230E7B" w14:textId="26EDE698" w:rsidR="00BE6F63" w:rsidRPr="00315A8E" w:rsidRDefault="006E6210" w:rsidP="000B0C18">
      <w:pPr>
        <w:shd w:val="clear" w:color="auto" w:fill="FFFFFF"/>
        <w:tabs>
          <w:tab w:val="left" w:pos="540"/>
        </w:tabs>
        <w:spacing w:before="120" w:after="0"/>
        <w:jc w:val="center"/>
        <w:rPr>
          <w:rFonts w:ascii="Times New Roman" w:hAnsi="Times New Roman"/>
          <w:b/>
          <w:sz w:val="28"/>
          <w:szCs w:val="28"/>
          <w:lang w:val="nl-NL"/>
        </w:rPr>
      </w:pPr>
      <w:r>
        <w:rPr>
          <w:rFonts w:ascii="Times New Roman" w:hAnsi="Times New Roman"/>
          <w:b/>
          <w:sz w:val="28"/>
          <w:szCs w:val="28"/>
          <w:lang w:val="nl-NL"/>
        </w:rPr>
        <w:t>REPORT OF THE FUND MANAGEMENT COMPANY</w:t>
      </w:r>
    </w:p>
    <w:p w14:paraId="60EF50BC" w14:textId="12CF322B" w:rsidR="0096793F" w:rsidRPr="00315A8E" w:rsidRDefault="0096793F" w:rsidP="000B0C18">
      <w:pPr>
        <w:shd w:val="clear" w:color="auto" w:fill="FFFFFF"/>
        <w:tabs>
          <w:tab w:val="left" w:pos="540"/>
        </w:tabs>
        <w:spacing w:before="120" w:after="0"/>
        <w:jc w:val="center"/>
        <w:rPr>
          <w:rFonts w:ascii="Times New Roman" w:hAnsi="Times New Roman"/>
          <w:b/>
          <w:i/>
          <w:sz w:val="24"/>
          <w:szCs w:val="24"/>
          <w:lang w:val="nl-NL"/>
        </w:rPr>
      </w:pPr>
      <w:r w:rsidRPr="00315A8E">
        <w:rPr>
          <w:rFonts w:ascii="Times New Roman" w:hAnsi="Times New Roman"/>
          <w:b/>
          <w:i/>
          <w:sz w:val="24"/>
          <w:szCs w:val="24"/>
          <w:lang w:val="nl-NL"/>
        </w:rPr>
        <w:t>(</w:t>
      </w:r>
      <w:r w:rsidR="00A35427">
        <w:rPr>
          <w:rFonts w:ascii="Times New Roman" w:hAnsi="Times New Roman"/>
          <w:b/>
          <w:i/>
          <w:sz w:val="24"/>
          <w:szCs w:val="24"/>
          <w:lang w:val="nl-NL"/>
        </w:rPr>
        <w:t>Quarter IV/</w:t>
      </w:r>
      <w:r w:rsidR="00F72260" w:rsidRPr="00315A8E">
        <w:rPr>
          <w:rFonts w:ascii="Times New Roman" w:hAnsi="Times New Roman"/>
          <w:b/>
          <w:i/>
          <w:sz w:val="24"/>
          <w:szCs w:val="24"/>
          <w:lang w:val="nl-NL"/>
        </w:rPr>
        <w:t xml:space="preserve"> </w:t>
      </w:r>
      <w:r w:rsidRPr="00315A8E">
        <w:rPr>
          <w:rFonts w:ascii="Times New Roman" w:hAnsi="Times New Roman"/>
          <w:b/>
          <w:i/>
          <w:sz w:val="24"/>
          <w:szCs w:val="24"/>
          <w:lang w:val="nl-NL"/>
        </w:rPr>
        <w:t>20</w:t>
      </w:r>
      <w:r w:rsidR="005B376A">
        <w:rPr>
          <w:rFonts w:ascii="Times New Roman" w:hAnsi="Times New Roman"/>
          <w:b/>
          <w:i/>
          <w:sz w:val="24"/>
          <w:szCs w:val="24"/>
          <w:lang w:val="nl-NL"/>
        </w:rPr>
        <w:t>2</w:t>
      </w:r>
      <w:r w:rsidR="00843125">
        <w:rPr>
          <w:rFonts w:ascii="Times New Roman" w:hAnsi="Times New Roman"/>
          <w:b/>
          <w:i/>
          <w:sz w:val="24"/>
          <w:szCs w:val="24"/>
          <w:lang w:val="nl-NL"/>
        </w:rPr>
        <w:t>4</w:t>
      </w:r>
      <w:r w:rsidRPr="00315A8E">
        <w:rPr>
          <w:rFonts w:ascii="Times New Roman" w:hAnsi="Times New Roman"/>
          <w:b/>
          <w:i/>
          <w:sz w:val="24"/>
          <w:szCs w:val="24"/>
          <w:lang w:val="nl-NL"/>
        </w:rPr>
        <w:t>)</w:t>
      </w:r>
    </w:p>
    <w:p w14:paraId="133DC8F1" w14:textId="77777777" w:rsidR="008F2B2D" w:rsidRPr="00315A8E" w:rsidRDefault="008F2B2D" w:rsidP="000B0C18">
      <w:pPr>
        <w:shd w:val="clear" w:color="auto" w:fill="FFFFFF"/>
        <w:tabs>
          <w:tab w:val="left" w:pos="540"/>
        </w:tabs>
        <w:spacing w:before="120" w:after="0"/>
        <w:jc w:val="center"/>
        <w:rPr>
          <w:rFonts w:ascii="Times New Roman" w:hAnsi="Times New Roman"/>
          <w:b/>
          <w:i/>
          <w:sz w:val="24"/>
          <w:szCs w:val="24"/>
          <w:lang w:val="nl-NL"/>
        </w:rPr>
      </w:pPr>
    </w:p>
    <w:p w14:paraId="57F92425" w14:textId="507C8475" w:rsidR="00BE6F63" w:rsidRPr="00315A8E" w:rsidRDefault="001C4F41" w:rsidP="000B0C18">
      <w:pPr>
        <w:shd w:val="clear" w:color="auto" w:fill="FFFFFF"/>
        <w:tabs>
          <w:tab w:val="left" w:pos="540"/>
        </w:tabs>
        <w:spacing w:before="120" w:after="0"/>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315A8E">
        <w:rPr>
          <w:rFonts w:ascii="Times New Roman" w:hAnsi="Times New Roman"/>
          <w:b/>
          <w:sz w:val="24"/>
          <w:szCs w:val="24"/>
          <w:lang w:val="nl-NL"/>
        </w:rPr>
        <w:t xml:space="preserve">. </w:t>
      </w:r>
      <w:r w:rsidR="00B4574B">
        <w:rPr>
          <w:rFonts w:ascii="Times New Roman" w:hAnsi="Times New Roman"/>
          <w:b/>
          <w:sz w:val="24"/>
          <w:szCs w:val="24"/>
          <w:lang w:val="nl-NL"/>
        </w:rPr>
        <w:t xml:space="preserve">General information of DFVN Capital Appreciation Fund </w:t>
      </w:r>
      <w:bookmarkStart w:id="1" w:name="_Hlk99811626"/>
      <w:r w:rsidR="00B4574B" w:rsidRPr="00B4574B">
        <w:rPr>
          <w:rFonts w:ascii="Times New Roman" w:hAnsi="Times New Roman"/>
          <w:b/>
          <w:sz w:val="24"/>
          <w:szCs w:val="24"/>
          <w:lang w:val="nl-NL"/>
        </w:rPr>
        <w:t>(“</w:t>
      </w:r>
      <w:r w:rsidR="00B4574B">
        <w:rPr>
          <w:rFonts w:ascii="Times New Roman" w:hAnsi="Times New Roman"/>
          <w:b/>
          <w:sz w:val="24"/>
          <w:szCs w:val="24"/>
          <w:lang w:val="nl-NL"/>
        </w:rPr>
        <w:t xml:space="preserve">the </w:t>
      </w:r>
      <w:r w:rsidR="00DB1E58">
        <w:rPr>
          <w:rFonts w:ascii="Times New Roman" w:hAnsi="Times New Roman"/>
          <w:b/>
          <w:sz w:val="24"/>
          <w:szCs w:val="24"/>
          <w:lang w:val="nl-NL"/>
        </w:rPr>
        <w:t>F</w:t>
      </w:r>
      <w:r w:rsidR="00B4574B">
        <w:rPr>
          <w:rFonts w:ascii="Times New Roman" w:hAnsi="Times New Roman"/>
          <w:b/>
          <w:sz w:val="24"/>
          <w:szCs w:val="24"/>
          <w:lang w:val="nl-NL"/>
        </w:rPr>
        <w:t>und</w:t>
      </w:r>
      <w:r w:rsidR="00B4574B" w:rsidRPr="00B4574B">
        <w:rPr>
          <w:rFonts w:ascii="Times New Roman" w:hAnsi="Times New Roman"/>
          <w:b/>
          <w:sz w:val="24"/>
          <w:szCs w:val="24"/>
          <w:lang w:val="nl-NL"/>
        </w:rPr>
        <w:t xml:space="preserve">” </w:t>
      </w:r>
      <w:r w:rsidR="00B4574B">
        <w:rPr>
          <w:rFonts w:ascii="Times New Roman" w:hAnsi="Times New Roman"/>
          <w:b/>
          <w:sz w:val="24"/>
          <w:szCs w:val="24"/>
          <w:lang w:val="nl-NL"/>
        </w:rPr>
        <w:t>or</w:t>
      </w:r>
      <w:r w:rsidR="00B4574B" w:rsidRPr="00B4574B">
        <w:rPr>
          <w:rFonts w:ascii="Times New Roman" w:hAnsi="Times New Roman"/>
          <w:b/>
          <w:sz w:val="24"/>
          <w:szCs w:val="24"/>
          <w:lang w:val="nl-NL"/>
        </w:rPr>
        <w:t xml:space="preserve"> “DFVN-CAF”)</w:t>
      </w:r>
      <w:bookmarkEnd w:id="1"/>
    </w:p>
    <w:bookmarkEnd w:id="0"/>
    <w:p w14:paraId="0BEC9635" w14:textId="3075A5A9" w:rsidR="00BE6F63" w:rsidRPr="00893D4C" w:rsidRDefault="001C4F41" w:rsidP="000B0C18">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1.</w:t>
      </w:r>
      <w:r w:rsidR="00BE6F63" w:rsidRPr="00893D4C">
        <w:rPr>
          <w:rFonts w:ascii="Times New Roman" w:hAnsi="Times New Roman"/>
          <w:b/>
          <w:sz w:val="24"/>
          <w:szCs w:val="24"/>
          <w:lang w:val="nl-NL"/>
        </w:rPr>
        <w:t xml:space="preserve">1. </w:t>
      </w:r>
      <w:r w:rsidR="00B4574B" w:rsidRPr="00893D4C">
        <w:rPr>
          <w:rFonts w:ascii="Times New Roman" w:hAnsi="Times New Roman"/>
          <w:b/>
          <w:sz w:val="24"/>
          <w:szCs w:val="24"/>
          <w:lang w:val="nl-NL"/>
        </w:rPr>
        <w:t>Objectives of the Fund</w:t>
      </w:r>
      <w:r w:rsidR="00BE6F63" w:rsidRPr="00893D4C">
        <w:rPr>
          <w:rFonts w:ascii="Times New Roman" w:hAnsi="Times New Roman"/>
          <w:b/>
          <w:sz w:val="24"/>
          <w:szCs w:val="24"/>
          <w:lang w:val="nl-NL"/>
        </w:rPr>
        <w:t>:</w:t>
      </w:r>
    </w:p>
    <w:p w14:paraId="26E5EB68" w14:textId="77777777" w:rsidR="00B4574B" w:rsidRPr="00893D4C" w:rsidRDefault="00B4574B" w:rsidP="000B0C18">
      <w:pPr>
        <w:shd w:val="clear" w:color="auto" w:fill="FFFFFF"/>
        <w:tabs>
          <w:tab w:val="left" w:pos="540"/>
        </w:tabs>
        <w:spacing w:before="120" w:after="0"/>
        <w:jc w:val="both"/>
        <w:rPr>
          <w:rFonts w:ascii="Times New Roman" w:hAnsi="Times New Roman"/>
          <w:sz w:val="24"/>
          <w:szCs w:val="24"/>
          <w:lang w:val="nl-NL"/>
        </w:rPr>
      </w:pPr>
      <w:r w:rsidRPr="00893D4C">
        <w:rPr>
          <w:rFonts w:ascii="Times New Roman" w:hAnsi="Times New Roman"/>
          <w:sz w:val="24"/>
          <w:szCs w:val="24"/>
          <w:lang w:val="nl-NL"/>
        </w:rPr>
        <w:t>DFVN-CAF provides the investors with asset and capital appreciation and aims to outperform the Vietnam stock market (VN-Index) as benchmark in the long term by investing mainly in a diversified portfolio of listed equities on Vietnam securities market.</w:t>
      </w:r>
    </w:p>
    <w:p w14:paraId="72ED9833" w14:textId="6DABB1A1" w:rsidR="00BE6F63" w:rsidRPr="00893D4C" w:rsidRDefault="001C4F41" w:rsidP="000B0C18">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1.</w:t>
      </w:r>
      <w:r w:rsidR="00BE6F63" w:rsidRPr="00893D4C">
        <w:rPr>
          <w:rFonts w:ascii="Times New Roman" w:hAnsi="Times New Roman"/>
          <w:b/>
          <w:sz w:val="24"/>
          <w:szCs w:val="24"/>
          <w:lang w:val="nl-NL"/>
        </w:rPr>
        <w:t xml:space="preserve">2. </w:t>
      </w:r>
      <w:r w:rsidR="00B4574B" w:rsidRPr="00893D4C">
        <w:rPr>
          <w:rFonts w:ascii="Times New Roman" w:hAnsi="Times New Roman"/>
          <w:b/>
          <w:sz w:val="24"/>
          <w:szCs w:val="24"/>
          <w:lang w:val="nl-NL"/>
        </w:rPr>
        <w:t>Performance result of the Fund</w:t>
      </w:r>
      <w:r w:rsidR="00BE6F63" w:rsidRPr="00893D4C">
        <w:rPr>
          <w:rFonts w:ascii="Times New Roman" w:hAnsi="Times New Roman"/>
          <w:b/>
          <w:sz w:val="24"/>
          <w:szCs w:val="24"/>
          <w:lang w:val="nl-NL"/>
        </w:rPr>
        <w:t>:</w:t>
      </w:r>
    </w:p>
    <w:p w14:paraId="372BB5DF" w14:textId="088A7869" w:rsidR="00B4574B" w:rsidRPr="00893D4C" w:rsidRDefault="00B4574B" w:rsidP="000B0C18">
      <w:pPr>
        <w:shd w:val="clear" w:color="auto" w:fill="FFFFFF"/>
        <w:tabs>
          <w:tab w:val="left" w:pos="540"/>
        </w:tabs>
        <w:spacing w:before="120" w:after="0"/>
        <w:jc w:val="both"/>
        <w:rPr>
          <w:rFonts w:ascii="Times New Roman" w:hAnsi="Times New Roman"/>
          <w:sz w:val="24"/>
          <w:szCs w:val="24"/>
          <w:lang w:val="nl-NL"/>
        </w:rPr>
      </w:pPr>
      <w:r w:rsidRPr="00893D4C">
        <w:rPr>
          <w:rFonts w:ascii="Times New Roman" w:hAnsi="Times New Roman"/>
          <w:sz w:val="24"/>
          <w:szCs w:val="24"/>
          <w:lang w:val="nl-NL"/>
        </w:rPr>
        <w:t xml:space="preserve">According to the audited financial statements of the Fund, its net asset value (“NAV”) as at </w:t>
      </w:r>
      <w:r w:rsidR="00250001" w:rsidRPr="00893D4C">
        <w:rPr>
          <w:rFonts w:ascii="Times New Roman" w:hAnsi="Times New Roman"/>
          <w:sz w:val="24"/>
          <w:szCs w:val="24"/>
          <w:lang w:val="nl-NL"/>
        </w:rPr>
        <w:t>3</w:t>
      </w:r>
      <w:r w:rsidR="00A35427" w:rsidRPr="00893D4C">
        <w:rPr>
          <w:rFonts w:ascii="Times New Roman" w:hAnsi="Times New Roman"/>
          <w:sz w:val="24"/>
          <w:szCs w:val="24"/>
          <w:lang w:val="nl-NL"/>
        </w:rPr>
        <w:t>1</w:t>
      </w:r>
      <w:r w:rsidR="00E30920" w:rsidRPr="00893D4C">
        <w:rPr>
          <w:rFonts w:ascii="Times New Roman" w:hAnsi="Times New Roman"/>
          <w:sz w:val="24"/>
          <w:szCs w:val="24"/>
          <w:lang w:val="nl-NL"/>
        </w:rPr>
        <w:t xml:space="preserve"> </w:t>
      </w:r>
      <w:r w:rsidR="00A35427" w:rsidRPr="00893D4C">
        <w:rPr>
          <w:rFonts w:ascii="Times New Roman" w:hAnsi="Times New Roman"/>
          <w:sz w:val="24"/>
          <w:szCs w:val="24"/>
          <w:lang w:val="nl-NL"/>
        </w:rPr>
        <w:t>Dec</w:t>
      </w:r>
      <w:r w:rsidRPr="00893D4C">
        <w:rPr>
          <w:rFonts w:ascii="Times New Roman" w:hAnsi="Times New Roman"/>
          <w:sz w:val="24"/>
          <w:szCs w:val="24"/>
          <w:lang w:val="nl-NL"/>
        </w:rPr>
        <w:t xml:space="preserve"> 202</w:t>
      </w:r>
      <w:r w:rsidR="00843125" w:rsidRPr="00893D4C">
        <w:rPr>
          <w:rFonts w:ascii="Times New Roman" w:hAnsi="Times New Roman"/>
          <w:sz w:val="24"/>
          <w:szCs w:val="24"/>
          <w:lang w:val="nl-NL"/>
        </w:rPr>
        <w:t>4</w:t>
      </w:r>
      <w:r w:rsidRPr="00893D4C">
        <w:rPr>
          <w:rFonts w:ascii="Times New Roman" w:hAnsi="Times New Roman"/>
          <w:sz w:val="24"/>
          <w:szCs w:val="24"/>
          <w:lang w:val="nl-NL"/>
        </w:rPr>
        <w:t xml:space="preserve"> </w:t>
      </w:r>
      <w:r w:rsidR="00A35427" w:rsidRPr="00893D4C">
        <w:rPr>
          <w:rFonts w:ascii="Times New Roman" w:hAnsi="Times New Roman"/>
          <w:sz w:val="24"/>
          <w:szCs w:val="24"/>
          <w:lang w:val="nl-NL"/>
        </w:rPr>
        <w:t>in</w:t>
      </w:r>
      <w:r w:rsidRPr="00893D4C">
        <w:rPr>
          <w:rFonts w:ascii="Times New Roman" w:hAnsi="Times New Roman"/>
          <w:sz w:val="24"/>
          <w:szCs w:val="24"/>
          <w:lang w:val="nl-NL"/>
        </w:rPr>
        <w:t>creased by</w:t>
      </w:r>
      <w:r w:rsidR="00FC5663" w:rsidRPr="00893D4C">
        <w:rPr>
          <w:rFonts w:ascii="Times New Roman" w:hAnsi="Times New Roman"/>
          <w:sz w:val="24"/>
          <w:szCs w:val="24"/>
          <w:lang w:val="nl-NL"/>
        </w:rPr>
        <w:t xml:space="preserve"> </w:t>
      </w:r>
      <w:r w:rsidR="00A35427" w:rsidRPr="00893D4C">
        <w:rPr>
          <w:rFonts w:ascii="Times New Roman" w:hAnsi="Times New Roman"/>
          <w:sz w:val="24"/>
          <w:szCs w:val="24"/>
          <w:lang w:val="nl-NL"/>
        </w:rPr>
        <w:t>3.38</w:t>
      </w:r>
      <w:r w:rsidR="00746FFE" w:rsidRPr="00893D4C">
        <w:rPr>
          <w:rFonts w:ascii="Times New Roman" w:hAnsi="Times New Roman"/>
          <w:sz w:val="24"/>
          <w:szCs w:val="24"/>
          <w:lang w:val="nl-NL"/>
        </w:rPr>
        <w:t>%</w:t>
      </w:r>
      <w:r w:rsidRPr="00893D4C">
        <w:rPr>
          <w:rFonts w:ascii="Times New Roman" w:hAnsi="Times New Roman"/>
          <w:sz w:val="24"/>
          <w:szCs w:val="24"/>
          <w:lang w:val="nl-NL"/>
        </w:rPr>
        <w:t xml:space="preserve"> as compared with those as at </w:t>
      </w:r>
      <w:r w:rsidR="00A35427" w:rsidRPr="00893D4C">
        <w:rPr>
          <w:rFonts w:ascii="Times New Roman" w:hAnsi="Times New Roman"/>
          <w:sz w:val="24"/>
          <w:szCs w:val="24"/>
          <w:lang w:val="nl-NL"/>
        </w:rPr>
        <w:t>30 Sep</w:t>
      </w:r>
      <w:r w:rsidRPr="00893D4C">
        <w:rPr>
          <w:rFonts w:ascii="Times New Roman" w:hAnsi="Times New Roman"/>
          <w:sz w:val="24"/>
          <w:szCs w:val="24"/>
          <w:lang w:val="nl-NL"/>
        </w:rPr>
        <w:t xml:space="preserve"> 202</w:t>
      </w:r>
      <w:r w:rsidR="00A35427" w:rsidRPr="00893D4C">
        <w:rPr>
          <w:rFonts w:ascii="Times New Roman" w:hAnsi="Times New Roman"/>
          <w:sz w:val="24"/>
          <w:szCs w:val="24"/>
          <w:lang w:val="nl-NL"/>
        </w:rPr>
        <w:t>4</w:t>
      </w:r>
      <w:r w:rsidRPr="00893D4C">
        <w:rPr>
          <w:rFonts w:ascii="Times New Roman" w:hAnsi="Times New Roman"/>
          <w:sz w:val="24"/>
          <w:szCs w:val="24"/>
          <w:lang w:val="nl-NL"/>
        </w:rPr>
        <w:t>.</w:t>
      </w:r>
    </w:p>
    <w:p w14:paraId="0CB40711" w14:textId="33BA6D30" w:rsidR="00BE6F63" w:rsidRPr="00315A8E" w:rsidRDefault="001C4F41" w:rsidP="000B0C18">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1.</w:t>
      </w:r>
      <w:r w:rsidR="00BE6F63" w:rsidRPr="00893D4C">
        <w:rPr>
          <w:rFonts w:ascii="Times New Roman" w:hAnsi="Times New Roman"/>
          <w:b/>
          <w:sz w:val="24"/>
          <w:szCs w:val="24"/>
          <w:lang w:val="nl-NL"/>
        </w:rPr>
        <w:t xml:space="preserve">3. </w:t>
      </w:r>
      <w:r w:rsidR="00B4574B" w:rsidRPr="00893D4C">
        <w:rPr>
          <w:rFonts w:ascii="Times New Roman" w:hAnsi="Times New Roman"/>
          <w:b/>
          <w:sz w:val="24"/>
          <w:szCs w:val="24"/>
          <w:lang w:val="nl-NL"/>
        </w:rPr>
        <w:t>The Fund’s investment strategy and policy</w:t>
      </w:r>
      <w:r w:rsidR="005C1F75" w:rsidRPr="00893D4C">
        <w:rPr>
          <w:rFonts w:ascii="Times New Roman" w:hAnsi="Times New Roman"/>
          <w:b/>
          <w:sz w:val="24"/>
          <w:szCs w:val="24"/>
          <w:lang w:val="nl-NL"/>
        </w:rPr>
        <w:t>:</w:t>
      </w:r>
    </w:p>
    <w:p w14:paraId="5495D919" w14:textId="77777777" w:rsidR="00115F9B" w:rsidRPr="00315A8E" w:rsidRDefault="00115F9B" w:rsidP="00115F9B">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Investment strategy</w:t>
      </w:r>
      <w:r w:rsidRPr="00315A8E">
        <w:rPr>
          <w:rFonts w:ascii="Times New Roman" w:hAnsi="Times New Roman"/>
          <w:b/>
          <w:sz w:val="24"/>
          <w:szCs w:val="24"/>
          <w:lang w:val="nl-NL"/>
        </w:rPr>
        <w:t>:</w:t>
      </w:r>
    </w:p>
    <w:p w14:paraId="58BE04AF"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 xml:space="preserve">The DFVN-CAF will invest into a diversified investment portfolio including listed equity with large market cap on Vietnamese securities market. The selection of sectors and companies is executed based on evaluating value style, fundamental analysis and assessment on market sectors. Conditions for company selection are as follows: </w:t>
      </w:r>
    </w:p>
    <w:p w14:paraId="0CC68206"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Leading positions in its sectors;</w:t>
      </w:r>
    </w:p>
    <w:p w14:paraId="3676C87E"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Strong financial situation;</w:t>
      </w:r>
    </w:p>
    <w:p w14:paraId="05F658FA"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Strong cash flow or good and high quality asset base; and</w:t>
      </w:r>
    </w:p>
    <w:p w14:paraId="23E7EFAC" w14:textId="08E0BCA6"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Good corporate governance</w:t>
      </w:r>
    </w:p>
    <w:p w14:paraId="3C9A5CA3" w14:textId="77777777" w:rsid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The main investment areas of DFVN-CAF shall concentrate on the listed equity on Vietnam stock exchange, the equity about to be listed and the shares of the equitized corporation.</w:t>
      </w:r>
    </w:p>
    <w:p w14:paraId="6D4B5526" w14:textId="6D785679" w:rsidR="00115F9B" w:rsidRDefault="00115F9B" w:rsidP="00B4574B">
      <w:pPr>
        <w:shd w:val="clear" w:color="auto" w:fill="FFFFFF"/>
        <w:tabs>
          <w:tab w:val="left" w:pos="540"/>
        </w:tabs>
        <w:spacing w:before="120" w:after="0"/>
        <w:jc w:val="both"/>
        <w:rPr>
          <w:rFonts w:ascii="Times New Roman" w:hAnsi="Times New Roman"/>
          <w:b/>
          <w:sz w:val="24"/>
          <w:szCs w:val="24"/>
          <w:lang w:val="nl-NL"/>
        </w:rPr>
      </w:pPr>
      <w:r w:rsidRPr="00E07F3E">
        <w:rPr>
          <w:rFonts w:ascii="Times New Roman" w:hAnsi="Times New Roman"/>
          <w:b/>
          <w:sz w:val="24"/>
          <w:szCs w:val="24"/>
          <w:lang w:val="nl-NL"/>
        </w:rPr>
        <w:t>The investable assets of the Fund</w:t>
      </w:r>
    </w:p>
    <w:p w14:paraId="54A72AE6" w14:textId="1417F0F4" w:rsidR="00B4574B" w:rsidRPr="00B4574B" w:rsidRDefault="00115F9B" w:rsidP="00B4574B">
      <w:pPr>
        <w:tabs>
          <w:tab w:val="left" w:pos="540"/>
        </w:tabs>
        <w:spacing w:before="120" w:after="120"/>
        <w:jc w:val="both"/>
        <w:rPr>
          <w:rFonts w:ascii="Times New Roman" w:hAnsi="Times New Roman"/>
          <w:sz w:val="24"/>
          <w:szCs w:val="24"/>
          <w:lang w:val="nl-NL"/>
        </w:rPr>
      </w:pPr>
      <w:r w:rsidRPr="00BC5F3F">
        <w:rPr>
          <w:rFonts w:ascii="Times New Roman" w:hAnsi="Times New Roman"/>
          <w:sz w:val="24"/>
          <w:szCs w:val="24"/>
          <w:lang w:val="nl-NL"/>
        </w:rPr>
        <w:t>•</w:t>
      </w:r>
      <w:r w:rsidRPr="00BC5F3F">
        <w:rPr>
          <w:rFonts w:ascii="Times New Roman" w:hAnsi="Times New Roman"/>
          <w:sz w:val="24"/>
          <w:szCs w:val="24"/>
          <w:lang w:val="nl-NL"/>
        </w:rPr>
        <w:tab/>
      </w:r>
      <w:r w:rsidR="00B4574B" w:rsidRPr="00B4574B">
        <w:rPr>
          <w:rFonts w:ascii="Times New Roman" w:hAnsi="Times New Roman"/>
          <w:sz w:val="24"/>
          <w:szCs w:val="24"/>
          <w:lang w:val="nl-NL"/>
        </w:rPr>
        <w:t>Term deposits at commercial banks in accordance with the Laws on banking;</w:t>
      </w:r>
    </w:p>
    <w:p w14:paraId="2C259199" w14:textId="77777777" w:rsidR="00B4574B" w:rsidRP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 xml:space="preserve">Money market instruments include valuable paper, negotiable instrument in accordance with the relevant Laws; </w:t>
      </w:r>
    </w:p>
    <w:p w14:paraId="384F5E78" w14:textId="77777777" w:rsidR="00B4574B" w:rsidRP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Government debt instruments, Government guaranteed bonds, municipal bonds;</w:t>
      </w:r>
    </w:p>
    <w:p w14:paraId="57E7EACC" w14:textId="77777777" w:rsidR="00B4574B" w:rsidRP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lastRenderedPageBreak/>
        <w:t>•</w:t>
      </w:r>
      <w:r w:rsidRPr="00B4574B">
        <w:rPr>
          <w:rFonts w:ascii="Times New Roman" w:hAnsi="Times New Roman"/>
          <w:sz w:val="24"/>
          <w:szCs w:val="24"/>
          <w:lang w:val="nl-NL"/>
        </w:rPr>
        <w:tab/>
        <w:t>Listed shares, shares registered for trading, listed bonds listed on the stock exchange, public fund unit;</w:t>
      </w:r>
    </w:p>
    <w:p w14:paraId="77277FB4" w14:textId="77777777" w:rsidR="00B4574B" w:rsidRP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Shares initially offered to the public, bonds offered to the public; corporate bonds privately placed by listed organizations with payment guarantee by credit institutions or with the issuer's commitment to repurchase at least 30% of the value of the bond offering at least once every 12 months. In case of investments in these assets at this point; there are following conditions to be satisfied:</w:t>
      </w:r>
    </w:p>
    <w:p w14:paraId="415B164D" w14:textId="77777777" w:rsidR="00B4574B" w:rsidRP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r>
      <w:r w:rsidRPr="00B4574B">
        <w:rPr>
          <w:rFonts w:ascii="Times New Roman" w:hAnsi="Times New Roman"/>
          <w:sz w:val="24"/>
          <w:szCs w:val="24"/>
          <w:lang w:val="nl-NL"/>
        </w:rPr>
        <w:tab/>
        <w:t xml:space="preserve">The Board of Representatives has provided written consent to the class and code of the securities, the quantity and value of the transaction, and the time for implementation; as stipulated in the Prospectus; </w:t>
      </w:r>
    </w:p>
    <w:p w14:paraId="5E734FD4" w14:textId="77777777" w:rsidR="00B4574B" w:rsidRP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r>
      <w:r w:rsidRPr="00B4574B">
        <w:rPr>
          <w:rFonts w:ascii="Times New Roman" w:hAnsi="Times New Roman"/>
          <w:sz w:val="24"/>
          <w:szCs w:val="24"/>
          <w:lang w:val="nl-NL"/>
        </w:rPr>
        <w:tab/>
        <w:t xml:space="preserve">There is adequate proof that payment guarantee is provided by credit institutions or commitment to buy back from issuer. </w:t>
      </w:r>
    </w:p>
    <w:p w14:paraId="08CA5947" w14:textId="77777777" w:rsidR="00B4574B" w:rsidRP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Derivatives listed on stock exchange and used for prevention of risks to underlying securities held by the fund;</w:t>
      </w:r>
    </w:p>
    <w:p w14:paraId="522C707D" w14:textId="77777777" w:rsidR="00B4574B" w:rsidRDefault="00B4574B" w:rsidP="00B4574B">
      <w:pPr>
        <w:tabs>
          <w:tab w:val="left" w:pos="540"/>
        </w:tabs>
        <w:spacing w:before="120" w:after="120"/>
        <w:jc w:val="both"/>
        <w:rPr>
          <w:rFonts w:ascii="Times New Roman" w:hAnsi="Times New Roman"/>
          <w:sz w:val="24"/>
          <w:szCs w:val="24"/>
          <w:lang w:val="nl-NL"/>
        </w:rPr>
      </w:pPr>
      <w:r w:rsidRPr="00B4574B">
        <w:rPr>
          <w:rFonts w:ascii="Times New Roman" w:hAnsi="Times New Roman"/>
          <w:sz w:val="24"/>
          <w:szCs w:val="24"/>
          <w:lang w:val="nl-NL"/>
        </w:rPr>
        <w:t>•</w:t>
      </w:r>
      <w:r w:rsidRPr="00B4574B">
        <w:rPr>
          <w:rFonts w:ascii="Times New Roman" w:hAnsi="Times New Roman"/>
          <w:sz w:val="24"/>
          <w:szCs w:val="24"/>
          <w:lang w:val="nl-NL"/>
        </w:rPr>
        <w:tab/>
        <w:t>The rights that may arise in connection with securities being held by the Fund.</w:t>
      </w:r>
    </w:p>
    <w:p w14:paraId="27F7B764" w14:textId="75838905" w:rsidR="00115F9B" w:rsidRPr="00E07F3E" w:rsidRDefault="00115F9B" w:rsidP="00B4574B">
      <w:pPr>
        <w:tabs>
          <w:tab w:val="left" w:pos="540"/>
        </w:tabs>
        <w:spacing w:before="120" w:after="120"/>
        <w:jc w:val="both"/>
        <w:rPr>
          <w:rFonts w:ascii="Times New Roman" w:hAnsi="Times New Roman"/>
          <w:b/>
          <w:sz w:val="24"/>
          <w:szCs w:val="24"/>
          <w:lang w:val="nl-NL"/>
        </w:rPr>
      </w:pPr>
      <w:r w:rsidRPr="00E07F3E">
        <w:rPr>
          <w:rFonts w:ascii="Times New Roman" w:hAnsi="Times New Roman"/>
          <w:b/>
          <w:sz w:val="24"/>
          <w:szCs w:val="24"/>
          <w:lang w:val="nl-NL"/>
        </w:rPr>
        <w:t>Investment structure</w:t>
      </w:r>
    </w:p>
    <w:tbl>
      <w:tblPr>
        <w:tblStyle w:val="TableGrid"/>
        <w:tblW w:w="8640" w:type="dxa"/>
        <w:tblInd w:w="715" w:type="dxa"/>
        <w:tblLook w:val="04A0" w:firstRow="1" w:lastRow="0" w:firstColumn="1" w:lastColumn="0" w:noHBand="0" w:noVBand="1"/>
      </w:tblPr>
      <w:tblGrid>
        <w:gridCol w:w="4140"/>
        <w:gridCol w:w="4500"/>
      </w:tblGrid>
      <w:tr w:rsidR="00115F9B" w:rsidRPr="00315A8E" w14:paraId="0D243423" w14:textId="77777777" w:rsidTr="00B138EE">
        <w:trPr>
          <w:trHeight w:val="507"/>
        </w:trPr>
        <w:tc>
          <w:tcPr>
            <w:tcW w:w="4140" w:type="dxa"/>
            <w:shd w:val="clear" w:color="auto" w:fill="D9D9D9" w:themeFill="background1" w:themeFillShade="D9"/>
          </w:tcPr>
          <w:p w14:paraId="65432DE0" w14:textId="77777777" w:rsidR="00115F9B" w:rsidRPr="00315A8E" w:rsidRDefault="00115F9B" w:rsidP="00B138EE">
            <w:pPr>
              <w:spacing w:before="120" w:after="120"/>
              <w:jc w:val="both"/>
              <w:rPr>
                <w:rFonts w:ascii="Times New Roman" w:hAnsi="Times New Roman"/>
                <w:b/>
                <w:sz w:val="24"/>
                <w:szCs w:val="24"/>
                <w:lang w:val="nl-NL"/>
              </w:rPr>
            </w:pPr>
            <w:r w:rsidRPr="00E07F3E">
              <w:rPr>
                <w:rFonts w:ascii="Times New Roman" w:hAnsi="Times New Roman"/>
                <w:b/>
                <w:sz w:val="24"/>
                <w:szCs w:val="24"/>
                <w:lang w:val="nl-NL"/>
              </w:rPr>
              <w:t>Investment assets</w:t>
            </w:r>
          </w:p>
        </w:tc>
        <w:tc>
          <w:tcPr>
            <w:tcW w:w="4500" w:type="dxa"/>
            <w:shd w:val="clear" w:color="auto" w:fill="D9D9D9" w:themeFill="background1" w:themeFillShade="D9"/>
          </w:tcPr>
          <w:p w14:paraId="5D43CD34" w14:textId="2677B7E1" w:rsidR="00115F9B" w:rsidRPr="00315A8E" w:rsidRDefault="00115F9B" w:rsidP="00B138EE">
            <w:pPr>
              <w:spacing w:before="120" w:after="120"/>
              <w:jc w:val="both"/>
              <w:rPr>
                <w:rFonts w:ascii="Times New Roman" w:hAnsi="Times New Roman"/>
                <w:b/>
                <w:sz w:val="24"/>
                <w:szCs w:val="24"/>
                <w:lang w:val="nl-NL"/>
              </w:rPr>
            </w:pPr>
            <w:r w:rsidRPr="00E07F3E">
              <w:rPr>
                <w:rFonts w:ascii="Times New Roman" w:hAnsi="Times New Roman"/>
                <w:b/>
                <w:sz w:val="24"/>
                <w:szCs w:val="24"/>
                <w:lang w:val="nl-NL"/>
              </w:rPr>
              <w:t xml:space="preserve">Allocation (% of The Fund </w:t>
            </w:r>
            <w:r w:rsidR="00B4574B">
              <w:rPr>
                <w:rFonts w:ascii="Times New Roman" w:hAnsi="Times New Roman"/>
                <w:b/>
                <w:sz w:val="24"/>
                <w:szCs w:val="24"/>
                <w:lang w:val="nl-NL"/>
              </w:rPr>
              <w:t>NAV</w:t>
            </w:r>
            <w:r w:rsidRPr="00E07F3E">
              <w:rPr>
                <w:rFonts w:ascii="Times New Roman" w:hAnsi="Times New Roman"/>
                <w:b/>
                <w:sz w:val="24"/>
                <w:szCs w:val="24"/>
                <w:lang w:val="nl-NL"/>
              </w:rPr>
              <w:t>)</w:t>
            </w:r>
          </w:p>
        </w:tc>
      </w:tr>
      <w:tr w:rsidR="00115F9B" w:rsidRPr="00315A8E" w14:paraId="6E5E94E1" w14:textId="77777777" w:rsidTr="00B138EE">
        <w:trPr>
          <w:trHeight w:val="260"/>
        </w:trPr>
        <w:tc>
          <w:tcPr>
            <w:tcW w:w="4140" w:type="dxa"/>
          </w:tcPr>
          <w:p w14:paraId="40F0D9F0" w14:textId="377590C3" w:rsidR="00115F9B" w:rsidRPr="00315A8E" w:rsidRDefault="00B4574B" w:rsidP="00B138EE">
            <w:pPr>
              <w:spacing w:before="120" w:after="120"/>
              <w:jc w:val="both"/>
              <w:rPr>
                <w:rFonts w:ascii="Times New Roman" w:hAnsi="Times New Roman"/>
                <w:sz w:val="24"/>
                <w:szCs w:val="24"/>
                <w:lang w:val="nl-NL"/>
              </w:rPr>
            </w:pPr>
            <w:r w:rsidRPr="00B4574B">
              <w:rPr>
                <w:rFonts w:ascii="Times New Roman" w:hAnsi="Times New Roman"/>
                <w:sz w:val="24"/>
                <w:szCs w:val="24"/>
                <w:lang w:val="nl-NL"/>
              </w:rPr>
              <w:t>Share equity</w:t>
            </w:r>
          </w:p>
        </w:tc>
        <w:tc>
          <w:tcPr>
            <w:tcW w:w="4500" w:type="dxa"/>
          </w:tcPr>
          <w:p w14:paraId="72E5A101" w14:textId="77777777" w:rsidR="00115F9B" w:rsidRPr="00315A8E" w:rsidRDefault="00115F9B" w:rsidP="00B138EE">
            <w:pPr>
              <w:spacing w:before="120" w:after="120"/>
              <w:jc w:val="both"/>
              <w:rPr>
                <w:rFonts w:ascii="Times New Roman" w:hAnsi="Times New Roman"/>
                <w:sz w:val="24"/>
                <w:szCs w:val="24"/>
                <w:lang w:val="nl-NL"/>
              </w:rPr>
            </w:pPr>
            <w:r w:rsidRPr="00315A8E">
              <w:rPr>
                <w:rFonts w:ascii="Times New Roman" w:hAnsi="Times New Roman"/>
                <w:sz w:val="24"/>
                <w:szCs w:val="24"/>
                <w:lang w:val="nl-NL"/>
              </w:rPr>
              <w:t>50% – 100%</w:t>
            </w:r>
          </w:p>
        </w:tc>
      </w:tr>
      <w:tr w:rsidR="00115F9B" w:rsidRPr="00315A8E" w14:paraId="722E9773" w14:textId="77777777" w:rsidTr="00B138EE">
        <w:trPr>
          <w:trHeight w:val="507"/>
        </w:trPr>
        <w:tc>
          <w:tcPr>
            <w:tcW w:w="4140" w:type="dxa"/>
          </w:tcPr>
          <w:p w14:paraId="3D825CC5" w14:textId="77777777" w:rsidR="00115F9B" w:rsidRPr="00315A8E" w:rsidRDefault="00115F9B" w:rsidP="00B138EE">
            <w:pPr>
              <w:spacing w:before="120" w:after="120"/>
              <w:jc w:val="both"/>
              <w:rPr>
                <w:rFonts w:ascii="Times New Roman" w:hAnsi="Times New Roman"/>
                <w:sz w:val="24"/>
                <w:szCs w:val="24"/>
                <w:lang w:val="nl-NL"/>
              </w:rPr>
            </w:pPr>
            <w:r>
              <w:rPr>
                <w:rFonts w:ascii="Times New Roman" w:hAnsi="Times New Roman"/>
                <w:sz w:val="24"/>
                <w:szCs w:val="24"/>
                <w:lang w:val="nl-NL"/>
              </w:rPr>
              <w:t>Short term deposit</w:t>
            </w:r>
            <w:r w:rsidRPr="00315A8E">
              <w:rPr>
                <w:rFonts w:ascii="Times New Roman" w:hAnsi="Times New Roman"/>
                <w:sz w:val="24"/>
                <w:szCs w:val="24"/>
                <w:lang w:val="nl-NL"/>
              </w:rPr>
              <w:t xml:space="preserve"> (*)</w:t>
            </w:r>
          </w:p>
        </w:tc>
        <w:tc>
          <w:tcPr>
            <w:tcW w:w="4500" w:type="dxa"/>
          </w:tcPr>
          <w:p w14:paraId="4D2DD419" w14:textId="77777777" w:rsidR="00115F9B" w:rsidRPr="00315A8E" w:rsidRDefault="00115F9B" w:rsidP="00B138EE">
            <w:pPr>
              <w:spacing w:before="120" w:after="120"/>
              <w:jc w:val="both"/>
              <w:rPr>
                <w:rFonts w:ascii="Times New Roman" w:hAnsi="Times New Roman"/>
                <w:sz w:val="24"/>
                <w:szCs w:val="24"/>
                <w:lang w:val="nl-NL"/>
              </w:rPr>
            </w:pPr>
            <w:r w:rsidRPr="00315A8E">
              <w:rPr>
                <w:rFonts w:ascii="Times New Roman" w:hAnsi="Times New Roman"/>
                <w:sz w:val="24"/>
                <w:szCs w:val="24"/>
                <w:lang w:val="nl-NL"/>
              </w:rPr>
              <w:t>0 – 49%</w:t>
            </w:r>
          </w:p>
        </w:tc>
      </w:tr>
      <w:tr w:rsidR="00115F9B" w:rsidRPr="00315A8E" w14:paraId="7172AD47" w14:textId="77777777" w:rsidTr="00B138EE">
        <w:trPr>
          <w:trHeight w:val="760"/>
        </w:trPr>
        <w:tc>
          <w:tcPr>
            <w:tcW w:w="4140" w:type="dxa"/>
          </w:tcPr>
          <w:p w14:paraId="007504DA" w14:textId="77777777" w:rsidR="00115F9B" w:rsidRPr="00315A8E" w:rsidRDefault="00115F9B" w:rsidP="00B138EE">
            <w:pPr>
              <w:spacing w:before="120" w:after="120"/>
              <w:jc w:val="both"/>
              <w:rPr>
                <w:rFonts w:ascii="Times New Roman" w:hAnsi="Times New Roman"/>
                <w:sz w:val="24"/>
                <w:szCs w:val="24"/>
                <w:lang w:val="nl-NL"/>
              </w:rPr>
            </w:pPr>
            <w:r w:rsidRPr="00E07F3E">
              <w:rPr>
                <w:rFonts w:ascii="Times New Roman" w:hAnsi="Times New Roman"/>
                <w:sz w:val="24"/>
                <w:szCs w:val="24"/>
                <w:lang w:val="nl-NL"/>
              </w:rPr>
              <w:t>Cash on current account of the Fund at the Supervisory Bank</w:t>
            </w:r>
          </w:p>
        </w:tc>
        <w:tc>
          <w:tcPr>
            <w:tcW w:w="4500" w:type="dxa"/>
          </w:tcPr>
          <w:p w14:paraId="2447CC3B" w14:textId="77777777" w:rsidR="00115F9B" w:rsidRPr="00315A8E" w:rsidRDefault="00115F9B" w:rsidP="00B138EE">
            <w:pPr>
              <w:spacing w:before="120" w:after="120"/>
              <w:jc w:val="both"/>
              <w:rPr>
                <w:rFonts w:ascii="Times New Roman" w:hAnsi="Times New Roman"/>
                <w:sz w:val="24"/>
                <w:szCs w:val="24"/>
                <w:lang w:val="nl-NL"/>
              </w:rPr>
            </w:pPr>
            <w:r w:rsidRPr="00E07F3E">
              <w:rPr>
                <w:rFonts w:ascii="Times New Roman" w:hAnsi="Times New Roman"/>
                <w:sz w:val="24"/>
                <w:szCs w:val="24"/>
                <w:lang w:val="nl-NL"/>
              </w:rPr>
              <w:t>The remaining asset value after investing the above two (02) asset types</w:t>
            </w:r>
          </w:p>
        </w:tc>
      </w:tr>
    </w:tbl>
    <w:p w14:paraId="576E6AD3" w14:textId="50BB66AE" w:rsidR="00115F9B" w:rsidRDefault="00115F9B" w:rsidP="00115F9B">
      <w:pPr>
        <w:shd w:val="clear" w:color="auto" w:fill="FFFFFF"/>
        <w:tabs>
          <w:tab w:val="left" w:pos="540"/>
        </w:tabs>
        <w:spacing w:before="120" w:after="0"/>
        <w:jc w:val="both"/>
        <w:rPr>
          <w:rFonts w:ascii="Times New Roman" w:hAnsi="Times New Roman"/>
          <w:sz w:val="24"/>
          <w:szCs w:val="24"/>
          <w:lang w:val="nl-NL"/>
        </w:rPr>
      </w:pPr>
      <w:r w:rsidRPr="00E07F3E">
        <w:rPr>
          <w:rFonts w:ascii="Times New Roman" w:hAnsi="Times New Roman"/>
          <w:sz w:val="24"/>
          <w:szCs w:val="24"/>
          <w:lang w:val="nl-NL"/>
        </w:rPr>
        <w:t xml:space="preserve">(*) </w:t>
      </w:r>
      <w:r w:rsidR="00B4574B" w:rsidRPr="00B4574B">
        <w:rPr>
          <w:rFonts w:ascii="Times New Roman" w:hAnsi="Times New Roman"/>
          <w:sz w:val="24"/>
          <w:szCs w:val="24"/>
          <w:lang w:val="nl-NL"/>
        </w:rPr>
        <w:t>Maximum three-month term deposits; only approved investment grade banks by the Board of Representatives.</w:t>
      </w:r>
    </w:p>
    <w:p w14:paraId="4CB3EFAE" w14:textId="33859D95" w:rsidR="00BE6F63" w:rsidRPr="00315A8E" w:rsidRDefault="001C4F41" w:rsidP="000B0C18">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1.</w:t>
      </w:r>
      <w:r w:rsidR="00BE6F63" w:rsidRPr="00315A8E">
        <w:rPr>
          <w:rFonts w:ascii="Times New Roman" w:hAnsi="Times New Roman"/>
          <w:b/>
          <w:sz w:val="24"/>
          <w:szCs w:val="24"/>
          <w:lang w:val="nl-NL"/>
        </w:rPr>
        <w:t xml:space="preserve">4. </w:t>
      </w:r>
      <w:r w:rsidR="00B4574B" w:rsidRPr="00B4574B">
        <w:rPr>
          <w:rFonts w:ascii="Times New Roman" w:hAnsi="Times New Roman"/>
          <w:b/>
          <w:sz w:val="24"/>
          <w:szCs w:val="24"/>
          <w:lang w:val="nl-NL"/>
        </w:rPr>
        <w:t>Classification of the Fund</w:t>
      </w:r>
      <w:r w:rsidR="00BE6F63" w:rsidRPr="00315A8E">
        <w:rPr>
          <w:rFonts w:ascii="Times New Roman" w:hAnsi="Times New Roman"/>
          <w:b/>
          <w:sz w:val="24"/>
          <w:szCs w:val="24"/>
          <w:lang w:val="nl-NL"/>
        </w:rPr>
        <w:t>:</w:t>
      </w:r>
    </w:p>
    <w:p w14:paraId="58EC5C93" w14:textId="77777777" w:rsidR="00B4574B" w:rsidRDefault="00B4574B" w:rsidP="000B0C18">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The Fund is an open-ended public investment fund.</w:t>
      </w:r>
    </w:p>
    <w:p w14:paraId="1F76D747" w14:textId="4E42841A" w:rsidR="00BE6F63" w:rsidRPr="00315A8E" w:rsidRDefault="001C4F41" w:rsidP="000B0C18">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1.</w:t>
      </w:r>
      <w:r w:rsidR="00BE6F63" w:rsidRPr="00315A8E">
        <w:rPr>
          <w:rFonts w:ascii="Times New Roman" w:hAnsi="Times New Roman"/>
          <w:b/>
          <w:sz w:val="24"/>
          <w:szCs w:val="24"/>
          <w:lang w:val="nl-NL"/>
        </w:rPr>
        <w:t xml:space="preserve">5. </w:t>
      </w:r>
      <w:r w:rsidR="00B4574B" w:rsidRPr="00B4574B">
        <w:rPr>
          <w:rFonts w:ascii="Times New Roman" w:hAnsi="Times New Roman"/>
          <w:b/>
          <w:sz w:val="24"/>
          <w:szCs w:val="24"/>
          <w:lang w:val="nl-NL"/>
        </w:rPr>
        <w:t>Life of the Fund</w:t>
      </w:r>
      <w:r w:rsidR="00BE6F63" w:rsidRPr="00315A8E">
        <w:rPr>
          <w:rFonts w:ascii="Times New Roman" w:hAnsi="Times New Roman"/>
          <w:b/>
          <w:sz w:val="24"/>
          <w:szCs w:val="24"/>
          <w:lang w:val="nl-NL"/>
        </w:rPr>
        <w:t>:</w:t>
      </w:r>
    </w:p>
    <w:p w14:paraId="378B1DE7" w14:textId="77777777" w:rsidR="00DD3C3F" w:rsidRDefault="00DD3C3F" w:rsidP="000B0C18">
      <w:pPr>
        <w:shd w:val="clear" w:color="auto" w:fill="FFFFFF"/>
        <w:tabs>
          <w:tab w:val="left" w:pos="540"/>
        </w:tabs>
        <w:spacing w:before="120" w:after="0"/>
        <w:jc w:val="both"/>
        <w:rPr>
          <w:rFonts w:ascii="Times New Roman" w:hAnsi="Times New Roman"/>
          <w:sz w:val="24"/>
          <w:szCs w:val="24"/>
          <w:lang w:val="nl-NL"/>
        </w:rPr>
      </w:pPr>
      <w:r w:rsidRPr="00DD3C3F">
        <w:rPr>
          <w:rFonts w:ascii="Times New Roman" w:hAnsi="Times New Roman"/>
          <w:sz w:val="24"/>
          <w:szCs w:val="24"/>
          <w:lang w:val="nl-NL"/>
        </w:rPr>
        <w:t xml:space="preserve">The Fund has an indefinite life. </w:t>
      </w:r>
    </w:p>
    <w:p w14:paraId="64C9F13B" w14:textId="604F6F3B" w:rsidR="00B62E0D" w:rsidRPr="00893D4C" w:rsidRDefault="001C4F41" w:rsidP="00893D4C">
      <w:pPr>
        <w:tabs>
          <w:tab w:val="left" w:pos="540"/>
        </w:tabs>
        <w:spacing w:before="120" w:after="0"/>
        <w:jc w:val="both"/>
        <w:rPr>
          <w:rFonts w:ascii="Times New Roman" w:hAnsi="Times New Roman"/>
          <w:sz w:val="24"/>
          <w:szCs w:val="24"/>
          <w:lang w:val="nl-NL"/>
        </w:rPr>
      </w:pPr>
      <w:r w:rsidRPr="00893D4C">
        <w:rPr>
          <w:rFonts w:ascii="Times New Roman" w:hAnsi="Times New Roman"/>
          <w:sz w:val="24"/>
          <w:szCs w:val="24"/>
          <w:lang w:val="nl-NL"/>
        </w:rPr>
        <w:t>1.</w:t>
      </w:r>
      <w:r w:rsidR="00BE6F63" w:rsidRPr="00893D4C">
        <w:rPr>
          <w:rFonts w:ascii="Times New Roman" w:hAnsi="Times New Roman"/>
          <w:sz w:val="24"/>
          <w:szCs w:val="24"/>
          <w:lang w:val="nl-NL"/>
        </w:rPr>
        <w:t xml:space="preserve">6. </w:t>
      </w:r>
      <w:r w:rsidR="00B62E0D" w:rsidRPr="00893D4C">
        <w:rPr>
          <w:rFonts w:ascii="Times New Roman" w:hAnsi="Times New Roman"/>
          <w:sz w:val="24"/>
          <w:szCs w:val="24"/>
          <w:lang w:val="nl-NL"/>
        </w:rPr>
        <w:t>Short term risk</w:t>
      </w:r>
      <w:r w:rsidR="00B4574B" w:rsidRPr="00893D4C">
        <w:rPr>
          <w:rFonts w:ascii="Times New Roman" w:hAnsi="Times New Roman"/>
          <w:sz w:val="24"/>
          <w:szCs w:val="24"/>
          <w:lang w:val="nl-NL"/>
        </w:rPr>
        <w:t>:</w:t>
      </w:r>
    </w:p>
    <w:p w14:paraId="1B9BC134"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 xml:space="preserve">The Fund is exposed to medium risk in the short-term. </w:t>
      </w:r>
    </w:p>
    <w:p w14:paraId="25F417BA" w14:textId="473FFEAF"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At the same time, with the dynamic investment selection method as presented below, the Fund's short-term risk level also corresponds flexibly according to each time of investment.</w:t>
      </w:r>
    </w:p>
    <w:p w14:paraId="203F0A72"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p>
    <w:p w14:paraId="67568208" w14:textId="77777777" w:rsid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lastRenderedPageBreak/>
        <w:t>The Fund will apply an active investment strategy to find, identify and select investment opportunities. Based on studies, fundamental macroeconomic analysis, company analysis, market factors, the Fund will develop a model of asset allocation in accordance with the Fund's investment objectives and appropriate with market conditions at each different stage. For each investment, the Fund will focus on finding and exploiting investments with attractive market value compared to basic values, long-term growth-oriented investments. At the same time, the Fund also identifies risks to portfolios and controls for these risks. As a result, the Fund's portfolio includes high-quality investment assets and can add value through the Fund's active investment management strategy.</w:t>
      </w:r>
    </w:p>
    <w:p w14:paraId="41AE22CF" w14:textId="20290BC9" w:rsidR="00B4574B" w:rsidRDefault="001C4F41" w:rsidP="00B4574B">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1.</w:t>
      </w:r>
      <w:r w:rsidR="00BE6F63" w:rsidRPr="00315A8E">
        <w:rPr>
          <w:rFonts w:ascii="Times New Roman" w:hAnsi="Times New Roman"/>
          <w:b/>
          <w:sz w:val="24"/>
          <w:szCs w:val="24"/>
          <w:lang w:val="nl-NL"/>
        </w:rPr>
        <w:t xml:space="preserve">7. </w:t>
      </w:r>
      <w:r w:rsidR="00B4574B" w:rsidRPr="00B4574B">
        <w:rPr>
          <w:rFonts w:ascii="Times New Roman" w:hAnsi="Times New Roman"/>
          <w:b/>
          <w:sz w:val="24"/>
          <w:szCs w:val="24"/>
          <w:lang w:val="nl-NL"/>
        </w:rPr>
        <w:t>Inception of the Fund</w:t>
      </w:r>
      <w:r w:rsidR="00BE6F63" w:rsidRPr="00315A8E">
        <w:rPr>
          <w:rFonts w:ascii="Times New Roman" w:hAnsi="Times New Roman"/>
          <w:b/>
          <w:sz w:val="24"/>
          <w:szCs w:val="24"/>
          <w:lang w:val="nl-NL"/>
        </w:rPr>
        <w:t>:</w:t>
      </w:r>
      <w:r w:rsidR="00FB564D">
        <w:rPr>
          <w:rFonts w:ascii="Times New Roman" w:hAnsi="Times New Roman"/>
          <w:b/>
          <w:sz w:val="24"/>
          <w:szCs w:val="24"/>
          <w:lang w:val="nl-NL"/>
        </w:rPr>
        <w:t xml:space="preserve"> </w:t>
      </w:r>
    </w:p>
    <w:p w14:paraId="01FFE617" w14:textId="77777777" w:rsidR="00B4574B" w:rsidRDefault="00B4574B" w:rsidP="002E5E13">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The Fund has been operating since 3 January 2019.</w:t>
      </w:r>
    </w:p>
    <w:p w14:paraId="09A952B4" w14:textId="37D75B4B" w:rsidR="00BE6F63" w:rsidRPr="00893D4C" w:rsidRDefault="001C4F41" w:rsidP="00893D4C">
      <w:pPr>
        <w:tabs>
          <w:tab w:val="left" w:pos="540"/>
        </w:tabs>
        <w:spacing w:before="120" w:after="0"/>
        <w:jc w:val="both"/>
        <w:rPr>
          <w:rFonts w:ascii="Times New Roman" w:hAnsi="Times New Roman"/>
          <w:sz w:val="24"/>
          <w:szCs w:val="24"/>
          <w:lang w:val="nl-NL"/>
        </w:rPr>
      </w:pPr>
      <w:r w:rsidRPr="00893D4C">
        <w:rPr>
          <w:rFonts w:ascii="Times New Roman" w:hAnsi="Times New Roman"/>
          <w:b/>
          <w:sz w:val="24"/>
          <w:szCs w:val="24"/>
          <w:lang w:val="nl-NL"/>
        </w:rPr>
        <w:t>1.</w:t>
      </w:r>
      <w:r w:rsidR="00BE6F63" w:rsidRPr="00893D4C">
        <w:rPr>
          <w:rFonts w:ascii="Times New Roman" w:hAnsi="Times New Roman"/>
          <w:b/>
          <w:sz w:val="24"/>
          <w:szCs w:val="24"/>
          <w:lang w:val="nl-NL"/>
        </w:rPr>
        <w:t xml:space="preserve">8. </w:t>
      </w:r>
      <w:r w:rsidR="00B4574B" w:rsidRPr="00893D4C">
        <w:rPr>
          <w:rFonts w:ascii="Times New Roman" w:hAnsi="Times New Roman"/>
          <w:b/>
          <w:sz w:val="24"/>
          <w:szCs w:val="24"/>
          <w:lang w:val="nl-NL"/>
        </w:rPr>
        <w:t>Size of the Fund at reporting date</w:t>
      </w:r>
    </w:p>
    <w:p w14:paraId="3FD6761E" w14:textId="41CB82EB" w:rsidR="00494F7E" w:rsidRPr="00893D4C" w:rsidRDefault="00FB564D" w:rsidP="00893D4C">
      <w:pPr>
        <w:tabs>
          <w:tab w:val="left" w:pos="540"/>
        </w:tabs>
        <w:spacing w:before="120" w:after="0"/>
        <w:jc w:val="both"/>
        <w:rPr>
          <w:rFonts w:ascii="Times New Roman" w:hAnsi="Times New Roman"/>
          <w:sz w:val="24"/>
          <w:szCs w:val="24"/>
          <w:lang w:val="nl-NL"/>
        </w:rPr>
      </w:pPr>
      <w:r w:rsidRPr="00893D4C">
        <w:rPr>
          <w:rFonts w:ascii="Times New Roman" w:hAnsi="Times New Roman"/>
          <w:sz w:val="24"/>
          <w:szCs w:val="24"/>
          <w:lang w:val="nl-NL"/>
        </w:rPr>
        <w:t xml:space="preserve">As of </w:t>
      </w:r>
      <w:r w:rsidR="00E30920" w:rsidRPr="00893D4C">
        <w:rPr>
          <w:rFonts w:ascii="Times New Roman" w:hAnsi="Times New Roman"/>
          <w:sz w:val="24"/>
          <w:szCs w:val="24"/>
          <w:lang w:val="nl-NL"/>
        </w:rPr>
        <w:t>3</w:t>
      </w:r>
      <w:r w:rsidR="00A35427" w:rsidRPr="00893D4C">
        <w:rPr>
          <w:rFonts w:ascii="Times New Roman" w:hAnsi="Times New Roman"/>
          <w:sz w:val="24"/>
          <w:szCs w:val="24"/>
          <w:lang w:val="nl-NL"/>
        </w:rPr>
        <w:t>1</w:t>
      </w:r>
      <w:r w:rsidR="00E30920" w:rsidRPr="00893D4C">
        <w:rPr>
          <w:rFonts w:ascii="Times New Roman" w:hAnsi="Times New Roman"/>
          <w:sz w:val="24"/>
          <w:szCs w:val="24"/>
          <w:lang w:val="nl-NL"/>
        </w:rPr>
        <w:t xml:space="preserve"> </w:t>
      </w:r>
      <w:r w:rsidR="00A35427" w:rsidRPr="00893D4C">
        <w:rPr>
          <w:rFonts w:ascii="Times New Roman" w:hAnsi="Times New Roman"/>
          <w:sz w:val="24"/>
          <w:szCs w:val="24"/>
          <w:lang w:val="nl-NL"/>
        </w:rPr>
        <w:t>Dec</w:t>
      </w:r>
      <w:r w:rsidR="00D26F4E" w:rsidRPr="00893D4C">
        <w:rPr>
          <w:rFonts w:ascii="Times New Roman" w:hAnsi="Times New Roman"/>
          <w:sz w:val="24"/>
          <w:szCs w:val="24"/>
          <w:lang w:val="nl-NL"/>
        </w:rPr>
        <w:t xml:space="preserve"> </w:t>
      </w:r>
      <w:r w:rsidRPr="00893D4C">
        <w:rPr>
          <w:rFonts w:ascii="Times New Roman" w:hAnsi="Times New Roman"/>
          <w:sz w:val="24"/>
          <w:szCs w:val="24"/>
          <w:lang w:val="nl-NL"/>
        </w:rPr>
        <w:t>20</w:t>
      </w:r>
      <w:r w:rsidR="005B376A" w:rsidRPr="00893D4C">
        <w:rPr>
          <w:rFonts w:ascii="Times New Roman" w:hAnsi="Times New Roman"/>
          <w:sz w:val="24"/>
          <w:szCs w:val="24"/>
          <w:lang w:val="nl-NL"/>
        </w:rPr>
        <w:t>2</w:t>
      </w:r>
      <w:r w:rsidR="00843125" w:rsidRPr="00893D4C">
        <w:rPr>
          <w:rFonts w:ascii="Times New Roman" w:hAnsi="Times New Roman"/>
          <w:sz w:val="24"/>
          <w:szCs w:val="24"/>
          <w:lang w:val="nl-NL"/>
        </w:rPr>
        <w:t>4</w:t>
      </w:r>
      <w:r w:rsidRPr="00893D4C">
        <w:rPr>
          <w:rFonts w:ascii="Times New Roman" w:hAnsi="Times New Roman"/>
          <w:sz w:val="24"/>
          <w:szCs w:val="24"/>
          <w:lang w:val="nl-NL"/>
        </w:rPr>
        <w:t xml:space="preserve">, the number of </w:t>
      </w:r>
      <w:r w:rsidR="007D4EAB" w:rsidRPr="00893D4C">
        <w:rPr>
          <w:rFonts w:ascii="Times New Roman" w:hAnsi="Times New Roman"/>
          <w:sz w:val="24"/>
          <w:szCs w:val="24"/>
          <w:lang w:val="nl-NL"/>
        </w:rPr>
        <w:t>F</w:t>
      </w:r>
      <w:r w:rsidRPr="00893D4C">
        <w:rPr>
          <w:rFonts w:ascii="Times New Roman" w:hAnsi="Times New Roman"/>
          <w:sz w:val="24"/>
          <w:szCs w:val="24"/>
          <w:lang w:val="nl-NL"/>
        </w:rPr>
        <w:t>und unit</w:t>
      </w:r>
      <w:r w:rsidR="007D4EAB" w:rsidRPr="00893D4C">
        <w:rPr>
          <w:rFonts w:ascii="Times New Roman" w:hAnsi="Times New Roman"/>
          <w:sz w:val="24"/>
          <w:szCs w:val="24"/>
          <w:lang w:val="nl-NL"/>
        </w:rPr>
        <w:t>s</w:t>
      </w:r>
      <w:r w:rsidRPr="00893D4C">
        <w:rPr>
          <w:rFonts w:ascii="Times New Roman" w:hAnsi="Times New Roman"/>
          <w:sz w:val="24"/>
          <w:szCs w:val="24"/>
          <w:lang w:val="nl-NL"/>
        </w:rPr>
        <w:t xml:space="preserve"> in circulation is </w:t>
      </w:r>
      <w:r w:rsidR="00A35427" w:rsidRPr="00893D4C">
        <w:rPr>
          <w:rFonts w:ascii="Times New Roman" w:hAnsi="Times New Roman"/>
          <w:sz w:val="24"/>
          <w:szCs w:val="24"/>
          <w:lang w:val="nl-NL"/>
        </w:rPr>
        <w:t xml:space="preserve">8,345,966.62 </w:t>
      </w:r>
      <w:r w:rsidR="007D4EAB" w:rsidRPr="00893D4C">
        <w:rPr>
          <w:rFonts w:ascii="Times New Roman" w:hAnsi="Times New Roman"/>
          <w:sz w:val="24"/>
          <w:szCs w:val="24"/>
          <w:lang w:val="nl-NL"/>
        </w:rPr>
        <w:t>Units</w:t>
      </w:r>
      <w:r w:rsidR="00494F7E" w:rsidRPr="00893D4C">
        <w:rPr>
          <w:rFonts w:ascii="Times New Roman" w:hAnsi="Times New Roman"/>
          <w:sz w:val="24"/>
          <w:szCs w:val="24"/>
          <w:lang w:val="nl-NL"/>
        </w:rPr>
        <w:t xml:space="preserve">, </w:t>
      </w:r>
      <w:r w:rsidRPr="00893D4C">
        <w:rPr>
          <w:rFonts w:ascii="Times New Roman" w:hAnsi="Times New Roman"/>
          <w:sz w:val="24"/>
          <w:szCs w:val="24"/>
          <w:lang w:val="nl-NL"/>
        </w:rPr>
        <w:t xml:space="preserve">equivalent to the </w:t>
      </w:r>
      <w:r w:rsidR="00B62E0D" w:rsidRPr="00893D4C">
        <w:rPr>
          <w:rFonts w:ascii="Times New Roman" w:hAnsi="Times New Roman"/>
          <w:sz w:val="24"/>
          <w:szCs w:val="24"/>
          <w:lang w:val="nl-NL"/>
        </w:rPr>
        <w:t>scale</w:t>
      </w:r>
      <w:r w:rsidRPr="00893D4C">
        <w:rPr>
          <w:rFonts w:ascii="Times New Roman" w:hAnsi="Times New Roman"/>
          <w:sz w:val="24"/>
          <w:szCs w:val="24"/>
          <w:lang w:val="nl-NL"/>
        </w:rPr>
        <w:t xml:space="preserve"> of the Fund at par value is</w:t>
      </w:r>
      <w:r w:rsidR="00494F7E" w:rsidRPr="00893D4C">
        <w:rPr>
          <w:rFonts w:ascii="Times New Roman" w:hAnsi="Times New Roman"/>
          <w:sz w:val="24"/>
          <w:szCs w:val="24"/>
          <w:lang w:val="nl-NL"/>
        </w:rPr>
        <w:t xml:space="preserve"> </w:t>
      </w:r>
      <w:r w:rsidR="00746FFE" w:rsidRPr="00893D4C">
        <w:rPr>
          <w:rFonts w:ascii="Times New Roman" w:hAnsi="Times New Roman"/>
          <w:sz w:val="24"/>
          <w:szCs w:val="24"/>
          <w:lang w:val="nl-NL"/>
        </w:rPr>
        <w:t>VND</w:t>
      </w:r>
      <w:r w:rsidR="00A35427" w:rsidRPr="00893D4C">
        <w:rPr>
          <w:rFonts w:ascii="Times New Roman" w:hAnsi="Times New Roman"/>
          <w:sz w:val="24"/>
          <w:szCs w:val="24"/>
          <w:lang w:val="nl-NL"/>
        </w:rPr>
        <w:t>83,459,666,200</w:t>
      </w:r>
      <w:r w:rsidR="00494F7E" w:rsidRPr="00893D4C">
        <w:rPr>
          <w:rFonts w:ascii="Times New Roman" w:hAnsi="Times New Roman"/>
          <w:sz w:val="24"/>
          <w:szCs w:val="24"/>
          <w:lang w:val="nl-NL"/>
        </w:rPr>
        <w:t>.</w:t>
      </w:r>
    </w:p>
    <w:p w14:paraId="54A5F4F1" w14:textId="77777777" w:rsidR="00B4574B" w:rsidRPr="00893D4C" w:rsidRDefault="001C4F41" w:rsidP="00893D4C">
      <w:pPr>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1.</w:t>
      </w:r>
      <w:r w:rsidR="00BE6F63" w:rsidRPr="00893D4C">
        <w:rPr>
          <w:rFonts w:ascii="Times New Roman" w:hAnsi="Times New Roman"/>
          <w:b/>
          <w:sz w:val="24"/>
          <w:szCs w:val="24"/>
          <w:lang w:val="nl-NL"/>
        </w:rPr>
        <w:t xml:space="preserve">9. </w:t>
      </w:r>
      <w:r w:rsidR="00B4574B" w:rsidRPr="00893D4C">
        <w:rPr>
          <w:rFonts w:ascii="Times New Roman" w:hAnsi="Times New Roman"/>
          <w:b/>
          <w:sz w:val="24"/>
          <w:szCs w:val="24"/>
          <w:lang w:val="nl-NL"/>
        </w:rPr>
        <w:t>Benchmark index of the Fund</w:t>
      </w:r>
      <w:r w:rsidR="00BE6F63" w:rsidRPr="00893D4C">
        <w:rPr>
          <w:rFonts w:ascii="Times New Roman" w:hAnsi="Times New Roman"/>
          <w:b/>
          <w:sz w:val="24"/>
          <w:szCs w:val="24"/>
          <w:lang w:val="nl-NL"/>
        </w:rPr>
        <w:t>:</w:t>
      </w:r>
    </w:p>
    <w:p w14:paraId="01DBA447" w14:textId="08F90A41" w:rsidR="00494F7E" w:rsidRPr="00893D4C" w:rsidRDefault="00B4574B" w:rsidP="00893D4C">
      <w:pPr>
        <w:tabs>
          <w:tab w:val="left" w:pos="540"/>
        </w:tabs>
        <w:spacing w:before="120" w:after="0"/>
        <w:jc w:val="both"/>
        <w:rPr>
          <w:rFonts w:ascii="Times New Roman" w:hAnsi="Times New Roman"/>
          <w:bCs/>
          <w:sz w:val="24"/>
          <w:szCs w:val="24"/>
          <w:lang w:val="nl-NL"/>
        </w:rPr>
      </w:pPr>
      <w:r w:rsidRPr="00893D4C">
        <w:rPr>
          <w:rFonts w:ascii="Times New Roman" w:hAnsi="Times New Roman"/>
          <w:bCs/>
          <w:sz w:val="24"/>
          <w:szCs w:val="24"/>
          <w:lang w:val="nl-NL"/>
        </w:rPr>
        <w:t>The Fund has no benchmark index.</w:t>
      </w:r>
    </w:p>
    <w:p w14:paraId="6239DBE8" w14:textId="681E4DFD" w:rsidR="00BE6F63" w:rsidRDefault="001C4F41" w:rsidP="00893D4C">
      <w:pPr>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1.</w:t>
      </w:r>
      <w:r w:rsidR="00BE6F63" w:rsidRPr="00893D4C">
        <w:rPr>
          <w:rFonts w:ascii="Times New Roman" w:hAnsi="Times New Roman"/>
          <w:b/>
          <w:sz w:val="24"/>
          <w:szCs w:val="24"/>
          <w:lang w:val="nl-NL"/>
        </w:rPr>
        <w:t xml:space="preserve">10. </w:t>
      </w:r>
      <w:r w:rsidR="00B4574B" w:rsidRPr="00893D4C">
        <w:rPr>
          <w:rFonts w:ascii="Times New Roman" w:hAnsi="Times New Roman"/>
          <w:b/>
          <w:sz w:val="24"/>
          <w:szCs w:val="24"/>
          <w:lang w:val="nl-NL"/>
        </w:rPr>
        <w:t>Profit distribution policy of the Fund</w:t>
      </w:r>
      <w:r w:rsidR="00BE6F63" w:rsidRPr="00893D4C">
        <w:rPr>
          <w:rFonts w:ascii="Times New Roman" w:hAnsi="Times New Roman"/>
          <w:b/>
          <w:sz w:val="24"/>
          <w:szCs w:val="24"/>
          <w:lang w:val="nl-NL"/>
        </w:rPr>
        <w:t>:</w:t>
      </w:r>
    </w:p>
    <w:p w14:paraId="0FC0ECFA" w14:textId="3FA886F1"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 xml:space="preserve">As metioned in the Prospectus, the main objective of the Fund is to invest in equity and focus on capital growth in the medium and long term. </w:t>
      </w:r>
      <w:r w:rsidR="002C4B4A" w:rsidRPr="00B4574B">
        <w:rPr>
          <w:rFonts w:ascii="Times New Roman" w:hAnsi="Times New Roman"/>
          <w:sz w:val="24"/>
          <w:szCs w:val="24"/>
          <w:lang w:val="nl-NL"/>
        </w:rPr>
        <w:t xml:space="preserve">Therefore, </w:t>
      </w:r>
      <w:r w:rsidR="002C4B4A">
        <w:rPr>
          <w:rFonts w:ascii="Times New Roman" w:hAnsi="Times New Roman"/>
          <w:sz w:val="24"/>
          <w:szCs w:val="24"/>
          <w:lang w:val="nl-NL"/>
        </w:rPr>
        <w:t xml:space="preserve">the Fund may be no pay </w:t>
      </w:r>
      <w:r w:rsidR="002C4B4A" w:rsidRPr="00B4574B">
        <w:rPr>
          <w:rFonts w:ascii="Times New Roman" w:hAnsi="Times New Roman"/>
          <w:sz w:val="24"/>
          <w:szCs w:val="24"/>
          <w:lang w:val="nl-NL"/>
        </w:rPr>
        <w:t xml:space="preserve">the </w:t>
      </w:r>
      <w:r w:rsidR="002C4B4A">
        <w:rPr>
          <w:rFonts w:ascii="Times New Roman" w:hAnsi="Times New Roman"/>
          <w:sz w:val="24"/>
          <w:szCs w:val="24"/>
          <w:lang w:val="nl-NL"/>
        </w:rPr>
        <w:t xml:space="preserve">annual </w:t>
      </w:r>
      <w:r w:rsidR="002C4B4A" w:rsidRPr="00B4574B">
        <w:rPr>
          <w:rFonts w:ascii="Times New Roman" w:hAnsi="Times New Roman"/>
          <w:sz w:val="24"/>
          <w:szCs w:val="24"/>
          <w:lang w:val="nl-NL"/>
        </w:rPr>
        <w:t>dividend</w:t>
      </w:r>
      <w:r w:rsidRPr="00B4574B">
        <w:rPr>
          <w:rFonts w:ascii="Times New Roman" w:hAnsi="Times New Roman"/>
          <w:sz w:val="24"/>
          <w:szCs w:val="24"/>
          <w:lang w:val="nl-NL"/>
        </w:rPr>
        <w:t>. The distribution of profits (if any) will be based on the audited financial statements of the Fund within the framework of the law, as proposed by the Fund Management Company, approved by the Board of Representatives and approved by the General Meeting of Investors.</w:t>
      </w:r>
    </w:p>
    <w:p w14:paraId="774FF534"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The Fund’s distribution of the profits shall comply with the following rules:</w:t>
      </w:r>
    </w:p>
    <w:p w14:paraId="517EC98B" w14:textId="6558921A" w:rsidR="00B4574B" w:rsidRPr="00B4574B" w:rsidRDefault="00B4574B" w:rsidP="00B4574B">
      <w:pPr>
        <w:pStyle w:val="ListParagraph"/>
        <w:numPr>
          <w:ilvl w:val="0"/>
          <w:numId w:val="17"/>
        </w:numPr>
        <w:shd w:val="clear" w:color="auto" w:fill="FFFFFF"/>
        <w:tabs>
          <w:tab w:val="left" w:pos="540"/>
        </w:tabs>
        <w:spacing w:before="120" w:after="0"/>
        <w:ind w:left="540" w:hanging="180"/>
        <w:jc w:val="both"/>
        <w:rPr>
          <w:rFonts w:ascii="Times New Roman" w:hAnsi="Times New Roman"/>
          <w:sz w:val="24"/>
          <w:szCs w:val="24"/>
          <w:lang w:val="nl-NL"/>
        </w:rPr>
      </w:pPr>
      <w:r w:rsidRPr="00B4574B">
        <w:rPr>
          <w:rFonts w:ascii="Times New Roman" w:hAnsi="Times New Roman"/>
          <w:sz w:val="24"/>
          <w:szCs w:val="24"/>
          <w:lang w:val="nl-NL"/>
        </w:rPr>
        <w:t>Profits distributed to the Investors are derived from the profits earned in the period or accumulated profits after the Fund has fulfilled its tax liabilities and other financial obligations as prescribed by the Laws;</w:t>
      </w:r>
    </w:p>
    <w:p w14:paraId="0806CADE" w14:textId="3E37D20B" w:rsidR="00B4574B" w:rsidRPr="00B4574B" w:rsidRDefault="00B4574B" w:rsidP="00B4574B">
      <w:pPr>
        <w:pStyle w:val="ListParagraph"/>
        <w:numPr>
          <w:ilvl w:val="0"/>
          <w:numId w:val="17"/>
        </w:numPr>
        <w:shd w:val="clear" w:color="auto" w:fill="FFFFFF"/>
        <w:tabs>
          <w:tab w:val="left" w:pos="540"/>
        </w:tabs>
        <w:spacing w:before="120" w:after="0"/>
        <w:ind w:left="540" w:hanging="180"/>
        <w:jc w:val="both"/>
        <w:rPr>
          <w:rFonts w:ascii="Times New Roman" w:hAnsi="Times New Roman"/>
          <w:sz w:val="24"/>
          <w:szCs w:val="24"/>
          <w:lang w:val="nl-NL"/>
        </w:rPr>
      </w:pPr>
      <w:r w:rsidRPr="00B4574B">
        <w:rPr>
          <w:rFonts w:ascii="Times New Roman" w:hAnsi="Times New Roman"/>
          <w:sz w:val="24"/>
          <w:szCs w:val="24"/>
          <w:lang w:val="nl-NL"/>
        </w:rPr>
        <w:t>The rate of profits distributed must be conformable with the Fund’s profit distribution policy specified in the Fund Charter and approved by the General Meeting of Investors;</w:t>
      </w:r>
    </w:p>
    <w:p w14:paraId="07A1534F" w14:textId="0096FFF2" w:rsidR="00B4574B" w:rsidRPr="00B4574B" w:rsidRDefault="00B4574B" w:rsidP="00B4574B">
      <w:pPr>
        <w:pStyle w:val="ListParagraph"/>
        <w:numPr>
          <w:ilvl w:val="0"/>
          <w:numId w:val="17"/>
        </w:numPr>
        <w:shd w:val="clear" w:color="auto" w:fill="FFFFFF"/>
        <w:tabs>
          <w:tab w:val="left" w:pos="540"/>
        </w:tabs>
        <w:spacing w:before="120" w:after="0"/>
        <w:ind w:left="540" w:hanging="180"/>
        <w:jc w:val="both"/>
        <w:rPr>
          <w:rFonts w:ascii="Times New Roman" w:hAnsi="Times New Roman"/>
          <w:sz w:val="24"/>
          <w:szCs w:val="24"/>
          <w:lang w:val="nl-NL"/>
        </w:rPr>
      </w:pPr>
      <w:r w:rsidRPr="00B4574B">
        <w:rPr>
          <w:rFonts w:ascii="Times New Roman" w:hAnsi="Times New Roman"/>
          <w:sz w:val="24"/>
          <w:szCs w:val="24"/>
          <w:lang w:val="nl-NL"/>
        </w:rPr>
        <w:t>After profits are distributed, the Fund is still able to fully pay its debts and other liabilities when they are due, and the Fund’s Net Asset Value shall not be lower than VND fifty (50) billion; and</w:t>
      </w:r>
    </w:p>
    <w:p w14:paraId="1DE64BF3" w14:textId="6D990F88" w:rsidR="00B4574B" w:rsidRPr="00B4574B" w:rsidRDefault="00B4574B" w:rsidP="00B4574B">
      <w:pPr>
        <w:pStyle w:val="ListParagraph"/>
        <w:numPr>
          <w:ilvl w:val="0"/>
          <w:numId w:val="17"/>
        </w:numPr>
        <w:shd w:val="clear" w:color="auto" w:fill="FFFFFF"/>
        <w:tabs>
          <w:tab w:val="left" w:pos="540"/>
        </w:tabs>
        <w:spacing w:before="120" w:after="0"/>
        <w:ind w:left="540" w:hanging="180"/>
        <w:jc w:val="both"/>
        <w:rPr>
          <w:rFonts w:ascii="Times New Roman" w:hAnsi="Times New Roman"/>
          <w:sz w:val="24"/>
          <w:szCs w:val="24"/>
          <w:lang w:val="nl-NL"/>
        </w:rPr>
      </w:pPr>
      <w:r w:rsidRPr="00B4574B">
        <w:rPr>
          <w:rFonts w:ascii="Times New Roman" w:hAnsi="Times New Roman"/>
          <w:sz w:val="24"/>
          <w:szCs w:val="24"/>
          <w:lang w:val="nl-NL"/>
        </w:rPr>
        <w:t>If profits are distributed in the Fund units, the Fund must have sufficient counterpart funds from its undistributed after-tax profits according to the latest audited or reviewed financial statements.</w:t>
      </w:r>
    </w:p>
    <w:p w14:paraId="3F25343F" w14:textId="23F5C16E"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 xml:space="preserve">The Fund dividends may be paid in cash or in the Fund units. The distribution of profits in Fund Units must be approved by the General Meeting of Investors in advance or the Fund’s Board of Representatives (if the latest General Meeting of Investors has authorized to the Fund’s Board of </w:t>
      </w:r>
      <w:r w:rsidRPr="00B4574B">
        <w:rPr>
          <w:rFonts w:ascii="Times New Roman" w:hAnsi="Times New Roman"/>
          <w:sz w:val="24"/>
          <w:szCs w:val="24"/>
          <w:lang w:val="nl-NL"/>
        </w:rPr>
        <w:lastRenderedPageBreak/>
        <w:t>Representatives). Only the Investors named on the list of Investors holding the Fund Unit at the recorded date will receive dividends from the Fund.</w:t>
      </w:r>
    </w:p>
    <w:p w14:paraId="11521C26" w14:textId="77777777" w:rsidR="00B4574B" w:rsidRPr="00B4574B"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 xml:space="preserve">The Fund Management Company must deduct all taxes, fees and charges in accordance with the law before distributing profits to the Investors. </w:t>
      </w:r>
    </w:p>
    <w:p w14:paraId="79916CD7" w14:textId="260A5787" w:rsidR="00956BA5" w:rsidRPr="00DD3C3F" w:rsidRDefault="00B4574B" w:rsidP="00B4574B">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The Fund Management Company is allowed to distribute the Fund's assets to the Investors more than the realized profit, but must ensure that the Fund's Net Asset Value after implementation is not lower than VND fifty (50) billion. The plan, implementation roadmap, size of assets to be distributed, capital for implementation must be approved by the General Meeting of Investors.</w:t>
      </w:r>
    </w:p>
    <w:p w14:paraId="1A5A9AD1" w14:textId="77777777" w:rsidR="00B4574B" w:rsidRDefault="001C4F41" w:rsidP="000B0C18">
      <w:pPr>
        <w:shd w:val="clear" w:color="auto" w:fill="FFFFFF"/>
        <w:tabs>
          <w:tab w:val="left" w:pos="540"/>
        </w:tabs>
        <w:spacing w:before="120" w:after="0"/>
        <w:jc w:val="both"/>
        <w:rPr>
          <w:rFonts w:ascii="Times New Roman" w:hAnsi="Times New Roman"/>
          <w:sz w:val="24"/>
          <w:szCs w:val="24"/>
          <w:lang w:val="nl-NL"/>
        </w:rPr>
      </w:pPr>
      <w:r>
        <w:rPr>
          <w:rFonts w:ascii="Times New Roman" w:hAnsi="Times New Roman"/>
          <w:b/>
          <w:sz w:val="24"/>
          <w:szCs w:val="24"/>
          <w:lang w:val="nl-NL"/>
        </w:rPr>
        <w:t>1.</w:t>
      </w:r>
      <w:r w:rsidR="00BE6F63" w:rsidRPr="00315A8E">
        <w:rPr>
          <w:rFonts w:ascii="Times New Roman" w:hAnsi="Times New Roman"/>
          <w:b/>
          <w:sz w:val="24"/>
          <w:szCs w:val="24"/>
          <w:lang w:val="nl-NL"/>
        </w:rPr>
        <w:t xml:space="preserve">11. </w:t>
      </w:r>
      <w:r w:rsidR="00B4574B" w:rsidRPr="00B4574B">
        <w:rPr>
          <w:rFonts w:ascii="Times New Roman" w:hAnsi="Times New Roman"/>
          <w:b/>
          <w:sz w:val="24"/>
          <w:szCs w:val="24"/>
          <w:lang w:val="nl-NL"/>
        </w:rPr>
        <w:t>Net profits attributed per fund unit as of reporting date</w:t>
      </w:r>
      <w:r w:rsidR="00BE6F63" w:rsidRPr="00315A8E">
        <w:rPr>
          <w:rFonts w:ascii="Times New Roman" w:hAnsi="Times New Roman"/>
          <w:b/>
          <w:sz w:val="24"/>
          <w:szCs w:val="24"/>
          <w:lang w:val="nl-NL"/>
        </w:rPr>
        <w:t>:</w:t>
      </w:r>
      <w:r w:rsidR="00E26961">
        <w:rPr>
          <w:rFonts w:ascii="Times New Roman" w:hAnsi="Times New Roman"/>
          <w:sz w:val="24"/>
          <w:szCs w:val="24"/>
          <w:lang w:val="nl-NL"/>
        </w:rPr>
        <w:t xml:space="preserve"> </w:t>
      </w:r>
    </w:p>
    <w:p w14:paraId="5BEBC609" w14:textId="1927C3F1" w:rsidR="00DE7314" w:rsidRDefault="00B4574B" w:rsidP="000B0C18">
      <w:pPr>
        <w:shd w:val="clear" w:color="auto" w:fill="FFFFFF"/>
        <w:tabs>
          <w:tab w:val="left" w:pos="540"/>
        </w:tabs>
        <w:spacing w:before="120" w:after="0"/>
        <w:jc w:val="both"/>
        <w:rPr>
          <w:rFonts w:ascii="Times New Roman" w:hAnsi="Times New Roman"/>
          <w:sz w:val="24"/>
          <w:szCs w:val="24"/>
          <w:lang w:val="nl-NL"/>
        </w:rPr>
      </w:pPr>
      <w:r w:rsidRPr="00B4574B">
        <w:rPr>
          <w:rFonts w:ascii="Times New Roman" w:hAnsi="Times New Roman"/>
          <w:sz w:val="24"/>
          <w:szCs w:val="24"/>
          <w:lang w:val="nl-NL"/>
        </w:rPr>
        <w:t>The Fund has not distributed its profits to fund unitholders</w:t>
      </w:r>
      <w:r>
        <w:rPr>
          <w:rFonts w:ascii="Times New Roman" w:hAnsi="Times New Roman"/>
          <w:sz w:val="24"/>
          <w:szCs w:val="24"/>
          <w:lang w:val="nl-NL"/>
        </w:rPr>
        <w:t>.</w:t>
      </w:r>
    </w:p>
    <w:p w14:paraId="2594A6E8" w14:textId="77777777" w:rsidR="00B4574B" w:rsidRDefault="00B4574B" w:rsidP="000B0C18">
      <w:pPr>
        <w:shd w:val="clear" w:color="auto" w:fill="FFFFFF"/>
        <w:tabs>
          <w:tab w:val="left" w:pos="540"/>
        </w:tabs>
        <w:spacing w:before="120" w:after="0"/>
        <w:jc w:val="both"/>
        <w:rPr>
          <w:rFonts w:ascii="Times New Roman" w:hAnsi="Times New Roman"/>
          <w:sz w:val="24"/>
          <w:szCs w:val="24"/>
          <w:lang w:val="nl-NL"/>
        </w:rPr>
      </w:pPr>
    </w:p>
    <w:p w14:paraId="6B08CDB7" w14:textId="5B40A39D" w:rsidR="00BE6F63" w:rsidRPr="00893D4C" w:rsidRDefault="001C4F41" w:rsidP="000B0C18">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2</w:t>
      </w:r>
      <w:r w:rsidR="00BE6F63" w:rsidRPr="00893D4C">
        <w:rPr>
          <w:rFonts w:ascii="Times New Roman" w:hAnsi="Times New Roman"/>
          <w:b/>
          <w:sz w:val="24"/>
          <w:szCs w:val="24"/>
          <w:lang w:val="nl-NL"/>
        </w:rPr>
        <w:t xml:space="preserve">. </w:t>
      </w:r>
      <w:r w:rsidR="00B4574B" w:rsidRPr="00893D4C">
        <w:rPr>
          <w:rFonts w:ascii="Times New Roman" w:hAnsi="Times New Roman"/>
          <w:b/>
          <w:sz w:val="24"/>
          <w:szCs w:val="24"/>
          <w:lang w:val="nl-NL"/>
        </w:rPr>
        <w:t>Performance results</w:t>
      </w:r>
    </w:p>
    <w:p w14:paraId="4BC8CBAF" w14:textId="2A55BBA8" w:rsidR="00BE6F63" w:rsidRPr="00893D4C" w:rsidRDefault="001C4F41" w:rsidP="00893D4C">
      <w:pPr>
        <w:tabs>
          <w:tab w:val="left" w:pos="540"/>
        </w:tabs>
        <w:spacing w:before="120"/>
        <w:jc w:val="both"/>
        <w:rPr>
          <w:rFonts w:ascii="Times New Roman" w:hAnsi="Times New Roman"/>
          <w:b/>
          <w:sz w:val="24"/>
          <w:szCs w:val="24"/>
          <w:lang w:val="nl-NL"/>
        </w:rPr>
      </w:pPr>
      <w:r w:rsidRPr="00893D4C">
        <w:rPr>
          <w:rFonts w:ascii="Times New Roman" w:hAnsi="Times New Roman"/>
          <w:b/>
          <w:sz w:val="24"/>
          <w:szCs w:val="24"/>
          <w:lang w:val="nl-NL"/>
        </w:rPr>
        <w:t>2.</w:t>
      </w:r>
      <w:r w:rsidR="00315A8E" w:rsidRPr="00893D4C">
        <w:rPr>
          <w:rFonts w:ascii="Times New Roman" w:hAnsi="Times New Roman"/>
          <w:b/>
          <w:sz w:val="24"/>
          <w:szCs w:val="24"/>
          <w:lang w:val="nl-NL"/>
        </w:rPr>
        <w:t xml:space="preserve">1. </w:t>
      </w:r>
      <w:r w:rsidR="00B4574B" w:rsidRPr="00893D4C">
        <w:rPr>
          <w:rFonts w:ascii="Times New Roman" w:hAnsi="Times New Roman"/>
          <w:b/>
          <w:sz w:val="24"/>
          <w:szCs w:val="24"/>
          <w:lang w:val="nl-NL"/>
        </w:rPr>
        <w:t>Asset allocation</w:t>
      </w:r>
      <w:r w:rsidR="00BE6F63" w:rsidRPr="00893D4C">
        <w:rPr>
          <w:rFonts w:ascii="Times New Roman" w:hAnsi="Times New Roman"/>
          <w:b/>
          <w:sz w:val="24"/>
          <w:szCs w:val="24"/>
          <w:lang w:val="nl-NL"/>
        </w:rPr>
        <w:t>:</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A35427" w:rsidRPr="00893D4C" w14:paraId="3587C0D2" w14:textId="77777777" w:rsidTr="00037D7F">
        <w:tc>
          <w:tcPr>
            <w:tcW w:w="2134" w:type="pct"/>
            <w:shd w:val="clear" w:color="auto" w:fill="auto"/>
            <w:vAlign w:val="center"/>
          </w:tcPr>
          <w:p w14:paraId="713AC91F" w14:textId="198D028F"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Fund’s asset structure</w:t>
            </w:r>
          </w:p>
        </w:tc>
        <w:tc>
          <w:tcPr>
            <w:tcW w:w="971" w:type="pct"/>
            <w:shd w:val="clear" w:color="auto" w:fill="auto"/>
            <w:vAlign w:val="center"/>
          </w:tcPr>
          <w:p w14:paraId="1458B4BC" w14:textId="77777777" w:rsidR="00A35427" w:rsidRPr="00893D4C" w:rsidRDefault="00A35427" w:rsidP="00A35427">
            <w:pPr>
              <w:tabs>
                <w:tab w:val="left" w:pos="540"/>
              </w:tabs>
              <w:spacing w:after="0" w:line="240" w:lineRule="auto"/>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31/12/2024</w:t>
            </w:r>
          </w:p>
          <w:p w14:paraId="4F56B9CF" w14:textId="2A1A4EF0"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w:t>
            </w:r>
          </w:p>
        </w:tc>
        <w:tc>
          <w:tcPr>
            <w:tcW w:w="971" w:type="pct"/>
            <w:shd w:val="clear" w:color="auto" w:fill="auto"/>
            <w:vAlign w:val="center"/>
          </w:tcPr>
          <w:p w14:paraId="6632930B" w14:textId="77777777" w:rsidR="00A35427" w:rsidRPr="00893D4C" w:rsidRDefault="00A35427" w:rsidP="00A35427">
            <w:pPr>
              <w:tabs>
                <w:tab w:val="left" w:pos="540"/>
              </w:tabs>
              <w:spacing w:after="0" w:line="240" w:lineRule="auto"/>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31/12/2023</w:t>
            </w:r>
          </w:p>
          <w:p w14:paraId="54EA1F22" w14:textId="3D3FECAE"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w:t>
            </w:r>
          </w:p>
        </w:tc>
        <w:tc>
          <w:tcPr>
            <w:tcW w:w="923" w:type="pct"/>
            <w:shd w:val="clear" w:color="auto" w:fill="auto"/>
            <w:vAlign w:val="center"/>
          </w:tcPr>
          <w:p w14:paraId="1B8B0C5F" w14:textId="77777777" w:rsidR="00A35427" w:rsidRPr="00893D4C" w:rsidRDefault="00A35427" w:rsidP="00A35427">
            <w:pPr>
              <w:tabs>
                <w:tab w:val="left" w:pos="540"/>
              </w:tabs>
              <w:spacing w:after="0" w:line="240" w:lineRule="auto"/>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31/12/2022</w:t>
            </w:r>
          </w:p>
          <w:p w14:paraId="411AA063" w14:textId="40665D99"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w:t>
            </w:r>
          </w:p>
        </w:tc>
      </w:tr>
      <w:tr w:rsidR="00A35427" w:rsidRPr="00893D4C" w14:paraId="24D2596E" w14:textId="77777777" w:rsidTr="00CC3C33">
        <w:tc>
          <w:tcPr>
            <w:tcW w:w="2134" w:type="pct"/>
            <w:shd w:val="clear" w:color="auto" w:fill="auto"/>
            <w:vAlign w:val="center"/>
          </w:tcPr>
          <w:p w14:paraId="33FCFD60" w14:textId="1A2879AA" w:rsidR="00A35427" w:rsidRPr="00893D4C" w:rsidRDefault="00A35427" w:rsidP="00A35427">
            <w:pPr>
              <w:tabs>
                <w:tab w:val="left" w:pos="-18"/>
              </w:tabs>
              <w:spacing w:before="120" w:after="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1. Securities portolio</w:t>
            </w:r>
          </w:p>
        </w:tc>
        <w:tc>
          <w:tcPr>
            <w:tcW w:w="971" w:type="pct"/>
            <w:shd w:val="clear" w:color="auto" w:fill="auto"/>
          </w:tcPr>
          <w:p w14:paraId="0B91117D" w14:textId="4FBC3B04"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95.58</w:t>
            </w:r>
          </w:p>
        </w:tc>
        <w:tc>
          <w:tcPr>
            <w:tcW w:w="971" w:type="pct"/>
            <w:shd w:val="clear" w:color="auto" w:fill="auto"/>
          </w:tcPr>
          <w:p w14:paraId="57589212" w14:textId="41106210"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94.13</w:t>
            </w:r>
          </w:p>
        </w:tc>
        <w:tc>
          <w:tcPr>
            <w:tcW w:w="923" w:type="pct"/>
            <w:shd w:val="clear" w:color="auto" w:fill="auto"/>
          </w:tcPr>
          <w:p w14:paraId="7BE89613" w14:textId="6B9AE0A9"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93.00</w:t>
            </w:r>
          </w:p>
        </w:tc>
      </w:tr>
      <w:tr w:rsidR="00A35427" w:rsidRPr="00893D4C" w14:paraId="4D0C35D7" w14:textId="77777777" w:rsidTr="00CC3C33">
        <w:tc>
          <w:tcPr>
            <w:tcW w:w="2134" w:type="pct"/>
            <w:shd w:val="clear" w:color="auto" w:fill="auto"/>
            <w:vAlign w:val="center"/>
          </w:tcPr>
          <w:p w14:paraId="34BD949F" w14:textId="7FBC8E60" w:rsidR="00A35427" w:rsidRPr="00893D4C" w:rsidRDefault="00A35427" w:rsidP="00A35427">
            <w:pPr>
              <w:tabs>
                <w:tab w:val="left" w:pos="-18"/>
              </w:tabs>
              <w:spacing w:before="120" w:after="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2. Cash and cash equivalents</w:t>
            </w:r>
          </w:p>
        </w:tc>
        <w:tc>
          <w:tcPr>
            <w:tcW w:w="971" w:type="pct"/>
            <w:shd w:val="clear" w:color="auto" w:fill="auto"/>
          </w:tcPr>
          <w:p w14:paraId="67FB726C" w14:textId="0330E585"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3.92</w:t>
            </w:r>
          </w:p>
        </w:tc>
        <w:tc>
          <w:tcPr>
            <w:tcW w:w="971" w:type="pct"/>
            <w:shd w:val="clear" w:color="auto" w:fill="auto"/>
          </w:tcPr>
          <w:p w14:paraId="34619132" w14:textId="2C8ECEC7"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5.32</w:t>
            </w:r>
          </w:p>
        </w:tc>
        <w:tc>
          <w:tcPr>
            <w:tcW w:w="923" w:type="pct"/>
            <w:shd w:val="clear" w:color="auto" w:fill="auto"/>
          </w:tcPr>
          <w:p w14:paraId="1E0BFD96" w14:textId="2FA994BA"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6.27</w:t>
            </w:r>
          </w:p>
        </w:tc>
      </w:tr>
      <w:tr w:rsidR="00A35427" w:rsidRPr="00893D4C" w14:paraId="2B8F060E" w14:textId="77777777" w:rsidTr="00CC3C33">
        <w:tc>
          <w:tcPr>
            <w:tcW w:w="2134" w:type="pct"/>
            <w:shd w:val="clear" w:color="auto" w:fill="auto"/>
            <w:vAlign w:val="center"/>
          </w:tcPr>
          <w:p w14:paraId="687A447B" w14:textId="766E1EBF" w:rsidR="00A35427" w:rsidRPr="00893D4C" w:rsidRDefault="00A35427" w:rsidP="00A35427">
            <w:pPr>
              <w:tabs>
                <w:tab w:val="left" w:pos="223"/>
              </w:tabs>
              <w:spacing w:before="120" w:after="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3. Other assets</w:t>
            </w:r>
          </w:p>
        </w:tc>
        <w:tc>
          <w:tcPr>
            <w:tcW w:w="971" w:type="pct"/>
            <w:shd w:val="clear" w:color="auto" w:fill="auto"/>
          </w:tcPr>
          <w:p w14:paraId="35A2188C" w14:textId="05E1C35C"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0.50</w:t>
            </w:r>
          </w:p>
        </w:tc>
        <w:tc>
          <w:tcPr>
            <w:tcW w:w="971" w:type="pct"/>
            <w:shd w:val="clear" w:color="auto" w:fill="auto"/>
          </w:tcPr>
          <w:p w14:paraId="269481FC" w14:textId="7D9F8414"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0.55</w:t>
            </w:r>
          </w:p>
        </w:tc>
        <w:tc>
          <w:tcPr>
            <w:tcW w:w="923" w:type="pct"/>
            <w:shd w:val="clear" w:color="auto" w:fill="auto"/>
          </w:tcPr>
          <w:p w14:paraId="2A4B7332" w14:textId="17BB7B9D"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0.73</w:t>
            </w:r>
          </w:p>
        </w:tc>
      </w:tr>
      <w:tr w:rsidR="002F008C" w:rsidRPr="00893D4C" w14:paraId="72495D15" w14:textId="77777777" w:rsidTr="00315A8E">
        <w:tc>
          <w:tcPr>
            <w:tcW w:w="2134" w:type="pct"/>
            <w:shd w:val="clear" w:color="auto" w:fill="auto"/>
            <w:vAlign w:val="center"/>
          </w:tcPr>
          <w:p w14:paraId="28E8061A" w14:textId="7286C481" w:rsidR="002F008C" w:rsidRPr="00893D4C" w:rsidRDefault="001C4F41" w:rsidP="002F008C">
            <w:pPr>
              <w:tabs>
                <w:tab w:val="left" w:pos="540"/>
              </w:tabs>
              <w:spacing w:before="120" w:after="0"/>
              <w:jc w:val="both"/>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Total</w:t>
            </w:r>
          </w:p>
        </w:tc>
        <w:tc>
          <w:tcPr>
            <w:tcW w:w="971" w:type="pct"/>
            <w:shd w:val="clear" w:color="auto" w:fill="auto"/>
            <w:vAlign w:val="center"/>
          </w:tcPr>
          <w:p w14:paraId="683EE411" w14:textId="00981D17" w:rsidR="002F008C" w:rsidRPr="00893D4C" w:rsidRDefault="002F008C" w:rsidP="002F008C">
            <w:pPr>
              <w:tabs>
                <w:tab w:val="left" w:pos="540"/>
              </w:tabs>
              <w:spacing w:before="120"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100.00</w:t>
            </w:r>
          </w:p>
        </w:tc>
        <w:tc>
          <w:tcPr>
            <w:tcW w:w="971" w:type="pct"/>
            <w:shd w:val="clear" w:color="auto" w:fill="auto"/>
            <w:vAlign w:val="center"/>
          </w:tcPr>
          <w:p w14:paraId="4FC04B19" w14:textId="66A09CB2" w:rsidR="002F008C" w:rsidRPr="00893D4C" w:rsidRDefault="002F008C" w:rsidP="002F008C">
            <w:pPr>
              <w:tabs>
                <w:tab w:val="left" w:pos="540"/>
              </w:tabs>
              <w:spacing w:before="120"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100.00</w:t>
            </w:r>
          </w:p>
        </w:tc>
        <w:tc>
          <w:tcPr>
            <w:tcW w:w="923" w:type="pct"/>
            <w:shd w:val="clear" w:color="auto" w:fill="auto"/>
            <w:vAlign w:val="center"/>
          </w:tcPr>
          <w:p w14:paraId="1F0DDFA4" w14:textId="3AA85259" w:rsidR="002F008C" w:rsidRPr="00893D4C" w:rsidRDefault="002F008C" w:rsidP="002F008C">
            <w:pPr>
              <w:tabs>
                <w:tab w:val="left" w:pos="540"/>
              </w:tabs>
              <w:spacing w:before="120"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100.00</w:t>
            </w:r>
          </w:p>
        </w:tc>
      </w:tr>
    </w:tbl>
    <w:p w14:paraId="1E3D8313" w14:textId="1E5638E2" w:rsidR="000B0C18" w:rsidRPr="00893D4C" w:rsidRDefault="001C4F41" w:rsidP="000B0C18">
      <w:pPr>
        <w:shd w:val="clear" w:color="auto" w:fill="FFFFFF"/>
        <w:tabs>
          <w:tab w:val="left" w:pos="540"/>
        </w:tabs>
        <w:spacing w:before="120"/>
        <w:jc w:val="both"/>
        <w:rPr>
          <w:rFonts w:ascii="Times New Roman" w:hAnsi="Times New Roman"/>
          <w:b/>
          <w:sz w:val="24"/>
          <w:szCs w:val="24"/>
          <w:lang w:val="nl-NL"/>
        </w:rPr>
      </w:pPr>
      <w:r w:rsidRPr="00893D4C">
        <w:rPr>
          <w:rFonts w:ascii="Times New Roman" w:hAnsi="Times New Roman"/>
          <w:b/>
          <w:sz w:val="24"/>
          <w:szCs w:val="24"/>
          <w:lang w:val="nl-NL"/>
        </w:rPr>
        <w:t>2.</w:t>
      </w:r>
      <w:r w:rsidR="00BE6F63" w:rsidRPr="00893D4C">
        <w:rPr>
          <w:rFonts w:ascii="Times New Roman" w:hAnsi="Times New Roman"/>
          <w:b/>
          <w:sz w:val="24"/>
          <w:szCs w:val="24"/>
          <w:lang w:val="nl-NL"/>
        </w:rPr>
        <w:t xml:space="preserve">2. </w:t>
      </w:r>
      <w:r w:rsidR="00B4574B" w:rsidRPr="00893D4C">
        <w:rPr>
          <w:rFonts w:ascii="Times New Roman" w:hAnsi="Times New Roman"/>
          <w:b/>
          <w:sz w:val="24"/>
          <w:szCs w:val="24"/>
          <w:lang w:val="nl-NL"/>
        </w:rPr>
        <w:t>Performance indicators</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A35427" w:rsidRPr="00893D4C" w14:paraId="21034AD9" w14:textId="77777777" w:rsidTr="00315A8E">
        <w:tc>
          <w:tcPr>
            <w:tcW w:w="2115" w:type="pct"/>
            <w:shd w:val="clear" w:color="auto" w:fill="auto"/>
            <w:vAlign w:val="center"/>
          </w:tcPr>
          <w:p w14:paraId="1D5B1819" w14:textId="7B6CF41B" w:rsidR="00A35427" w:rsidRPr="00893D4C" w:rsidRDefault="00A35427" w:rsidP="00A35427">
            <w:pPr>
              <w:tabs>
                <w:tab w:val="left" w:pos="540"/>
              </w:tabs>
              <w:spacing w:before="120"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Indicator</w:t>
            </w:r>
          </w:p>
        </w:tc>
        <w:tc>
          <w:tcPr>
            <w:tcW w:w="962" w:type="pct"/>
            <w:shd w:val="clear" w:color="auto" w:fill="auto"/>
            <w:vAlign w:val="center"/>
          </w:tcPr>
          <w:p w14:paraId="4AB83160" w14:textId="246EB34D"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31/12/2024</w:t>
            </w:r>
          </w:p>
        </w:tc>
        <w:tc>
          <w:tcPr>
            <w:tcW w:w="962" w:type="pct"/>
            <w:shd w:val="clear" w:color="auto" w:fill="auto"/>
            <w:vAlign w:val="center"/>
          </w:tcPr>
          <w:p w14:paraId="174B15DB" w14:textId="6F19F54A"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31/12/2023</w:t>
            </w:r>
          </w:p>
        </w:tc>
        <w:tc>
          <w:tcPr>
            <w:tcW w:w="961" w:type="pct"/>
            <w:shd w:val="clear" w:color="auto" w:fill="auto"/>
            <w:vAlign w:val="center"/>
          </w:tcPr>
          <w:p w14:paraId="36922E34" w14:textId="35DBDCFB"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31/12/2022</w:t>
            </w:r>
          </w:p>
        </w:tc>
      </w:tr>
      <w:tr w:rsidR="00A35427" w:rsidRPr="00315A8E" w14:paraId="1582E00A" w14:textId="77777777" w:rsidTr="005A0E9C">
        <w:tc>
          <w:tcPr>
            <w:tcW w:w="2115" w:type="pct"/>
            <w:shd w:val="clear" w:color="auto" w:fill="auto"/>
            <w:vAlign w:val="center"/>
          </w:tcPr>
          <w:p w14:paraId="165B2506" w14:textId="68EE8A83" w:rsidR="00A35427" w:rsidRPr="00893D4C" w:rsidRDefault="00A35427" w:rsidP="00A35427">
            <w:pPr>
              <w:tabs>
                <w:tab w:val="left" w:pos="540"/>
              </w:tabs>
              <w:spacing w:before="120" w:after="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1. Net asset value of the Fund (VND)</w:t>
            </w:r>
          </w:p>
        </w:tc>
        <w:tc>
          <w:tcPr>
            <w:tcW w:w="962" w:type="pct"/>
            <w:shd w:val="clear" w:color="auto" w:fill="auto"/>
          </w:tcPr>
          <w:p w14:paraId="41A827E1" w14:textId="01180C63"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 xml:space="preserve"> 134,335,029,090 </w:t>
            </w:r>
          </w:p>
        </w:tc>
        <w:tc>
          <w:tcPr>
            <w:tcW w:w="962" w:type="pct"/>
            <w:shd w:val="clear" w:color="auto" w:fill="auto"/>
          </w:tcPr>
          <w:p w14:paraId="6B0EAE44" w14:textId="208FC834"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 xml:space="preserve"> 161,351,154,608   </w:t>
            </w:r>
          </w:p>
        </w:tc>
        <w:tc>
          <w:tcPr>
            <w:tcW w:w="961" w:type="pct"/>
            <w:shd w:val="clear" w:color="auto" w:fill="auto"/>
          </w:tcPr>
          <w:p w14:paraId="2D404424" w14:textId="6655838A"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 xml:space="preserve"> 132,813,824,473</w:t>
            </w:r>
            <w:r w:rsidRPr="00A35427">
              <w:rPr>
                <w:rFonts w:ascii="Times New Roman" w:eastAsia="Times New Roman" w:hAnsi="Times New Roman"/>
                <w:sz w:val="24"/>
                <w:szCs w:val="24"/>
                <w:lang w:val="nl-NL"/>
              </w:rPr>
              <w:t xml:space="preserve">   </w:t>
            </w:r>
          </w:p>
        </w:tc>
      </w:tr>
      <w:tr w:rsidR="00A35427" w:rsidRPr="00315A8E" w14:paraId="740B9023" w14:textId="77777777" w:rsidTr="005A0E9C">
        <w:tc>
          <w:tcPr>
            <w:tcW w:w="2115" w:type="pct"/>
            <w:shd w:val="clear" w:color="auto" w:fill="auto"/>
            <w:vAlign w:val="center"/>
          </w:tcPr>
          <w:p w14:paraId="58D993A2" w14:textId="3F2CE18E"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Number of Fund units outstanding (units)</w:t>
            </w:r>
          </w:p>
        </w:tc>
        <w:tc>
          <w:tcPr>
            <w:tcW w:w="962" w:type="pct"/>
            <w:shd w:val="clear" w:color="auto" w:fill="auto"/>
          </w:tcPr>
          <w:p w14:paraId="2E0189F1" w14:textId="7FAF89BA"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8,345,966.62   </w:t>
            </w:r>
          </w:p>
        </w:tc>
        <w:tc>
          <w:tcPr>
            <w:tcW w:w="962" w:type="pct"/>
            <w:shd w:val="clear" w:color="auto" w:fill="auto"/>
          </w:tcPr>
          <w:p w14:paraId="0C159F19" w14:textId="1B234586"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11,615,286.07   </w:t>
            </w:r>
          </w:p>
        </w:tc>
        <w:tc>
          <w:tcPr>
            <w:tcW w:w="961" w:type="pct"/>
            <w:shd w:val="clear" w:color="auto" w:fill="auto"/>
          </w:tcPr>
          <w:p w14:paraId="34852C91" w14:textId="27B8006B"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10,797,931.20   </w:t>
            </w:r>
          </w:p>
        </w:tc>
      </w:tr>
      <w:tr w:rsidR="00A35427" w:rsidRPr="00315A8E" w14:paraId="0F7D1AC6" w14:textId="77777777" w:rsidTr="005A0E9C">
        <w:tc>
          <w:tcPr>
            <w:tcW w:w="2115" w:type="pct"/>
            <w:shd w:val="clear" w:color="auto" w:fill="auto"/>
            <w:vAlign w:val="center"/>
          </w:tcPr>
          <w:p w14:paraId="7AA58A45" w14:textId="1FC34FCD"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asset value per Fund unit (VND)</w:t>
            </w:r>
          </w:p>
        </w:tc>
        <w:tc>
          <w:tcPr>
            <w:tcW w:w="962" w:type="pct"/>
            <w:shd w:val="clear" w:color="auto" w:fill="auto"/>
          </w:tcPr>
          <w:p w14:paraId="3BB66723" w14:textId="45BE50E2"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16,095.80   </w:t>
            </w:r>
          </w:p>
        </w:tc>
        <w:tc>
          <w:tcPr>
            <w:tcW w:w="962" w:type="pct"/>
            <w:shd w:val="clear" w:color="auto" w:fill="auto"/>
          </w:tcPr>
          <w:p w14:paraId="5F9F7D1C" w14:textId="5F2C0A93"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13,891.27   </w:t>
            </w:r>
          </w:p>
        </w:tc>
        <w:tc>
          <w:tcPr>
            <w:tcW w:w="961" w:type="pct"/>
            <w:shd w:val="clear" w:color="auto" w:fill="auto"/>
          </w:tcPr>
          <w:p w14:paraId="048F7B62" w14:textId="570F53D7"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12,299.93   </w:t>
            </w:r>
          </w:p>
        </w:tc>
      </w:tr>
      <w:tr w:rsidR="00A35427" w:rsidRPr="00315A8E" w14:paraId="395AB2AB" w14:textId="77777777" w:rsidTr="005A0E9C">
        <w:tc>
          <w:tcPr>
            <w:tcW w:w="2115" w:type="pct"/>
            <w:shd w:val="clear" w:color="auto" w:fill="auto"/>
            <w:vAlign w:val="center"/>
          </w:tcPr>
          <w:p w14:paraId="4D78CBEF" w14:textId="025F1598"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4.</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asset value per Fund unit – highest during the period (VND)</w:t>
            </w:r>
          </w:p>
        </w:tc>
        <w:tc>
          <w:tcPr>
            <w:tcW w:w="962" w:type="pct"/>
            <w:shd w:val="clear" w:color="auto" w:fill="auto"/>
          </w:tcPr>
          <w:p w14:paraId="2E347DE5" w14:textId="466AAACC"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16,367.99   </w:t>
            </w:r>
          </w:p>
        </w:tc>
        <w:tc>
          <w:tcPr>
            <w:tcW w:w="962" w:type="pct"/>
            <w:shd w:val="clear" w:color="auto" w:fill="auto"/>
          </w:tcPr>
          <w:p w14:paraId="2ECE8D83" w14:textId="4BA1C5E0"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14,069.14   </w:t>
            </w:r>
          </w:p>
        </w:tc>
        <w:tc>
          <w:tcPr>
            <w:tcW w:w="961" w:type="pct"/>
            <w:shd w:val="clear" w:color="auto" w:fill="auto"/>
          </w:tcPr>
          <w:p w14:paraId="4517B3D4" w14:textId="2893AF50"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12,979.93   </w:t>
            </w:r>
          </w:p>
        </w:tc>
      </w:tr>
      <w:tr w:rsidR="00A35427" w:rsidRPr="00315A8E" w14:paraId="3A3FE5B3" w14:textId="77777777" w:rsidTr="005A0E9C">
        <w:tc>
          <w:tcPr>
            <w:tcW w:w="2115" w:type="pct"/>
            <w:shd w:val="clear" w:color="auto" w:fill="auto"/>
            <w:vAlign w:val="center"/>
          </w:tcPr>
          <w:p w14:paraId="67851E1D" w14:textId="762123E5"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5.</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asset value per Fund unit – lowest during the period (VND)</w:t>
            </w:r>
          </w:p>
        </w:tc>
        <w:tc>
          <w:tcPr>
            <w:tcW w:w="962" w:type="pct"/>
            <w:shd w:val="clear" w:color="auto" w:fill="auto"/>
          </w:tcPr>
          <w:p w14:paraId="78E13020" w14:textId="143281DB"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15,323.98   </w:t>
            </w:r>
          </w:p>
        </w:tc>
        <w:tc>
          <w:tcPr>
            <w:tcW w:w="962" w:type="pct"/>
            <w:shd w:val="clear" w:color="auto" w:fill="auto"/>
          </w:tcPr>
          <w:p w14:paraId="7200238C" w14:textId="23981E25"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12,710.10   </w:t>
            </w:r>
          </w:p>
        </w:tc>
        <w:tc>
          <w:tcPr>
            <w:tcW w:w="961" w:type="pct"/>
            <w:shd w:val="clear" w:color="auto" w:fill="auto"/>
          </w:tcPr>
          <w:p w14:paraId="0A60AFAB" w14:textId="4D00EA59"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11,501.69   </w:t>
            </w:r>
          </w:p>
        </w:tc>
      </w:tr>
      <w:tr w:rsidR="00B4574B" w:rsidRPr="00315A8E" w14:paraId="680FA9D8" w14:textId="77777777" w:rsidTr="00315A8E">
        <w:tc>
          <w:tcPr>
            <w:tcW w:w="2115" w:type="pct"/>
            <w:shd w:val="clear" w:color="auto" w:fill="auto"/>
            <w:vAlign w:val="center"/>
          </w:tcPr>
          <w:p w14:paraId="405BCECE" w14:textId="53B82D40" w:rsidR="00B4574B" w:rsidRPr="00315A8E" w:rsidRDefault="00B4574B" w:rsidP="00B4574B">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6.</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Closing price of Fund unit at reporting date (VND)</w:t>
            </w:r>
          </w:p>
        </w:tc>
        <w:tc>
          <w:tcPr>
            <w:tcW w:w="962" w:type="pct"/>
            <w:shd w:val="clear" w:color="auto" w:fill="auto"/>
            <w:vAlign w:val="center"/>
          </w:tcPr>
          <w:p w14:paraId="1D199951" w14:textId="3186D5BF"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hAnsi="Times New Roman"/>
                <w:sz w:val="24"/>
                <w:szCs w:val="24"/>
              </w:rPr>
              <w:t>Not applicable</w:t>
            </w:r>
          </w:p>
        </w:tc>
        <w:tc>
          <w:tcPr>
            <w:tcW w:w="962" w:type="pct"/>
            <w:shd w:val="clear" w:color="auto" w:fill="auto"/>
            <w:vAlign w:val="center"/>
          </w:tcPr>
          <w:p w14:paraId="7A1B8227" w14:textId="5137A07F"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c>
          <w:tcPr>
            <w:tcW w:w="961" w:type="pct"/>
            <w:shd w:val="clear" w:color="auto" w:fill="auto"/>
            <w:vAlign w:val="center"/>
          </w:tcPr>
          <w:p w14:paraId="0C5D082F" w14:textId="7D1A1568"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r>
      <w:tr w:rsidR="00B4574B" w:rsidRPr="00315A8E" w14:paraId="2492316D" w14:textId="77777777" w:rsidTr="00315A8E">
        <w:tc>
          <w:tcPr>
            <w:tcW w:w="2115" w:type="pct"/>
            <w:shd w:val="clear" w:color="auto" w:fill="auto"/>
            <w:vAlign w:val="center"/>
          </w:tcPr>
          <w:p w14:paraId="3BF3BB34" w14:textId="0F9ADCFA" w:rsidR="00B4574B" w:rsidRPr="00315A8E" w:rsidRDefault="00B4574B" w:rsidP="00B4574B">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lastRenderedPageBreak/>
              <w:t>7.</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Closing price of Fund unit at reporting date – highest during the period (VND)</w:t>
            </w:r>
          </w:p>
        </w:tc>
        <w:tc>
          <w:tcPr>
            <w:tcW w:w="962" w:type="pct"/>
            <w:shd w:val="clear" w:color="auto" w:fill="auto"/>
            <w:vAlign w:val="center"/>
          </w:tcPr>
          <w:p w14:paraId="10619DC6" w14:textId="631C00C2"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hAnsi="Times New Roman"/>
                <w:sz w:val="24"/>
                <w:szCs w:val="24"/>
              </w:rPr>
              <w:t>Not applicable</w:t>
            </w:r>
          </w:p>
        </w:tc>
        <w:tc>
          <w:tcPr>
            <w:tcW w:w="962" w:type="pct"/>
            <w:shd w:val="clear" w:color="auto" w:fill="auto"/>
            <w:vAlign w:val="center"/>
          </w:tcPr>
          <w:p w14:paraId="0BEE6D47" w14:textId="2F89A7D6"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c>
          <w:tcPr>
            <w:tcW w:w="961" w:type="pct"/>
            <w:shd w:val="clear" w:color="auto" w:fill="auto"/>
            <w:vAlign w:val="center"/>
          </w:tcPr>
          <w:p w14:paraId="54E3070C" w14:textId="75926371"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r>
      <w:tr w:rsidR="00B4574B" w:rsidRPr="00315A8E" w14:paraId="51B49DCF" w14:textId="77777777" w:rsidTr="00315A8E">
        <w:tc>
          <w:tcPr>
            <w:tcW w:w="2115" w:type="pct"/>
            <w:shd w:val="clear" w:color="auto" w:fill="auto"/>
            <w:vAlign w:val="center"/>
          </w:tcPr>
          <w:p w14:paraId="177EE2D0" w14:textId="2A42143F" w:rsidR="00B4574B" w:rsidRPr="00315A8E" w:rsidRDefault="00B4574B" w:rsidP="00B4574B">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8.</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Closing price of Fund unit at reporting date – lowest during the period (VND)</w:t>
            </w:r>
          </w:p>
        </w:tc>
        <w:tc>
          <w:tcPr>
            <w:tcW w:w="962" w:type="pct"/>
            <w:shd w:val="clear" w:color="auto" w:fill="auto"/>
            <w:vAlign w:val="center"/>
          </w:tcPr>
          <w:p w14:paraId="79D01296" w14:textId="7F94E96F"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hAnsi="Times New Roman"/>
                <w:sz w:val="24"/>
                <w:szCs w:val="24"/>
              </w:rPr>
              <w:t>Not applicable</w:t>
            </w:r>
          </w:p>
        </w:tc>
        <w:tc>
          <w:tcPr>
            <w:tcW w:w="962" w:type="pct"/>
            <w:shd w:val="clear" w:color="auto" w:fill="auto"/>
            <w:vAlign w:val="center"/>
          </w:tcPr>
          <w:p w14:paraId="3E65FA34" w14:textId="7B193D67"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c>
          <w:tcPr>
            <w:tcW w:w="961" w:type="pct"/>
            <w:shd w:val="clear" w:color="auto" w:fill="auto"/>
            <w:vAlign w:val="center"/>
          </w:tcPr>
          <w:p w14:paraId="693C8484" w14:textId="40C9E76D"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r>
      <w:tr w:rsidR="00A35427" w:rsidRPr="00315A8E" w14:paraId="3D43ACEE" w14:textId="77777777" w:rsidTr="001A39D4">
        <w:tc>
          <w:tcPr>
            <w:tcW w:w="2115" w:type="pct"/>
            <w:shd w:val="clear" w:color="auto" w:fill="auto"/>
            <w:vAlign w:val="center"/>
          </w:tcPr>
          <w:p w14:paraId="1916F095" w14:textId="1F543BC0"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Total growth per Fund unit (%)</w:t>
            </w:r>
          </w:p>
        </w:tc>
        <w:tc>
          <w:tcPr>
            <w:tcW w:w="962" w:type="pct"/>
            <w:shd w:val="clear" w:color="auto" w:fill="auto"/>
          </w:tcPr>
          <w:p w14:paraId="20184A90" w14:textId="43990019"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-2.05</w:t>
            </w:r>
          </w:p>
        </w:tc>
        <w:tc>
          <w:tcPr>
            <w:tcW w:w="962" w:type="pct"/>
            <w:shd w:val="clear" w:color="auto" w:fill="auto"/>
          </w:tcPr>
          <w:p w14:paraId="5EF14642" w14:textId="5FA5854A"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-1.18</w:t>
            </w:r>
          </w:p>
        </w:tc>
        <w:tc>
          <w:tcPr>
            <w:tcW w:w="961" w:type="pct"/>
            <w:shd w:val="clear" w:color="auto" w:fill="auto"/>
          </w:tcPr>
          <w:p w14:paraId="69214AE9" w14:textId="6BF7494A"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-6.60</w:t>
            </w:r>
          </w:p>
        </w:tc>
      </w:tr>
      <w:tr w:rsidR="00215036" w:rsidRPr="00315A8E" w14:paraId="39E29FC2" w14:textId="77777777" w:rsidTr="005C68DD">
        <w:tc>
          <w:tcPr>
            <w:tcW w:w="2115" w:type="pct"/>
            <w:shd w:val="clear" w:color="auto" w:fill="auto"/>
            <w:vAlign w:val="center"/>
          </w:tcPr>
          <w:p w14:paraId="684DE998" w14:textId="724322E8" w:rsidR="00215036" w:rsidRPr="00315A8E" w:rsidRDefault="00215036" w:rsidP="00215036">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9.1.</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Capital growth per Fund unit (due to price change) (%)</w:t>
            </w:r>
          </w:p>
        </w:tc>
        <w:tc>
          <w:tcPr>
            <w:tcW w:w="962" w:type="pct"/>
            <w:shd w:val="clear" w:color="auto" w:fill="auto"/>
            <w:vAlign w:val="center"/>
          </w:tcPr>
          <w:p w14:paraId="100762D5" w14:textId="23225D46" w:rsidR="00215036" w:rsidRPr="00215036" w:rsidRDefault="00215036" w:rsidP="00215036">
            <w:pPr>
              <w:tabs>
                <w:tab w:val="left" w:pos="540"/>
              </w:tabs>
              <w:spacing w:before="120" w:after="0"/>
              <w:jc w:val="center"/>
              <w:rPr>
                <w:rFonts w:ascii="Times New Roman" w:hAnsi="Times New Roman"/>
                <w:sz w:val="24"/>
                <w:szCs w:val="24"/>
              </w:rPr>
            </w:pPr>
            <w:r w:rsidRPr="00B4574B">
              <w:rPr>
                <w:rFonts w:ascii="Times New Roman" w:hAnsi="Times New Roman"/>
                <w:sz w:val="24"/>
                <w:szCs w:val="24"/>
              </w:rPr>
              <w:t>Not applicable</w:t>
            </w:r>
          </w:p>
        </w:tc>
        <w:tc>
          <w:tcPr>
            <w:tcW w:w="962" w:type="pct"/>
            <w:shd w:val="clear" w:color="auto" w:fill="auto"/>
            <w:vAlign w:val="center"/>
          </w:tcPr>
          <w:p w14:paraId="06674D77" w14:textId="692A4E91" w:rsidR="00215036" w:rsidRPr="00215036" w:rsidRDefault="00215036" w:rsidP="00215036">
            <w:pPr>
              <w:tabs>
                <w:tab w:val="left" w:pos="540"/>
              </w:tabs>
              <w:spacing w:before="120" w:after="0"/>
              <w:jc w:val="center"/>
              <w:rPr>
                <w:rFonts w:ascii="Times New Roman" w:hAnsi="Times New Roman"/>
                <w:sz w:val="24"/>
                <w:szCs w:val="24"/>
              </w:rPr>
            </w:pPr>
            <w:r w:rsidRPr="00B4574B">
              <w:rPr>
                <w:rFonts w:ascii="Times New Roman" w:hAnsi="Times New Roman"/>
                <w:sz w:val="24"/>
                <w:szCs w:val="24"/>
              </w:rPr>
              <w:t>Not applicable</w:t>
            </w:r>
          </w:p>
        </w:tc>
        <w:tc>
          <w:tcPr>
            <w:tcW w:w="961" w:type="pct"/>
            <w:shd w:val="clear" w:color="auto" w:fill="auto"/>
            <w:vAlign w:val="center"/>
          </w:tcPr>
          <w:p w14:paraId="441377AA" w14:textId="00DFFD3C" w:rsidR="00215036" w:rsidRPr="00215036" w:rsidRDefault="00215036" w:rsidP="00215036">
            <w:pPr>
              <w:tabs>
                <w:tab w:val="left" w:pos="540"/>
              </w:tabs>
              <w:spacing w:before="120" w:after="0"/>
              <w:jc w:val="center"/>
              <w:rPr>
                <w:rFonts w:ascii="Times New Roman" w:hAnsi="Times New Roman"/>
                <w:sz w:val="24"/>
                <w:szCs w:val="24"/>
              </w:rPr>
            </w:pPr>
            <w:r w:rsidRPr="00B4574B">
              <w:rPr>
                <w:rFonts w:ascii="Times New Roman" w:hAnsi="Times New Roman"/>
                <w:sz w:val="24"/>
                <w:szCs w:val="24"/>
              </w:rPr>
              <w:t>Not applicable</w:t>
            </w:r>
          </w:p>
        </w:tc>
      </w:tr>
      <w:tr w:rsidR="00215036" w:rsidRPr="00315A8E" w14:paraId="5D4A2E39" w14:textId="77777777" w:rsidTr="005C68DD">
        <w:tc>
          <w:tcPr>
            <w:tcW w:w="2115" w:type="pct"/>
            <w:shd w:val="clear" w:color="auto" w:fill="auto"/>
            <w:vAlign w:val="center"/>
          </w:tcPr>
          <w:p w14:paraId="461797A3" w14:textId="36D75301" w:rsidR="00215036" w:rsidRPr="00315A8E" w:rsidRDefault="00215036" w:rsidP="00215036">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9.2.</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Income growth per Fund unit (calculated using realised income) (%)</w:t>
            </w:r>
          </w:p>
        </w:tc>
        <w:tc>
          <w:tcPr>
            <w:tcW w:w="962" w:type="pct"/>
            <w:shd w:val="clear" w:color="auto" w:fill="auto"/>
            <w:vAlign w:val="center"/>
          </w:tcPr>
          <w:p w14:paraId="122130F8" w14:textId="3C573FD5" w:rsidR="00215036" w:rsidRPr="00215036" w:rsidRDefault="00215036" w:rsidP="00215036">
            <w:pPr>
              <w:tabs>
                <w:tab w:val="left" w:pos="540"/>
              </w:tabs>
              <w:spacing w:before="120" w:after="0"/>
              <w:jc w:val="center"/>
              <w:rPr>
                <w:rFonts w:ascii="Times New Roman" w:hAnsi="Times New Roman"/>
                <w:sz w:val="24"/>
                <w:szCs w:val="24"/>
              </w:rPr>
            </w:pPr>
            <w:r w:rsidRPr="00B4574B">
              <w:rPr>
                <w:rFonts w:ascii="Times New Roman" w:hAnsi="Times New Roman"/>
                <w:sz w:val="24"/>
                <w:szCs w:val="24"/>
              </w:rPr>
              <w:t>Not applicable</w:t>
            </w:r>
          </w:p>
        </w:tc>
        <w:tc>
          <w:tcPr>
            <w:tcW w:w="962" w:type="pct"/>
            <w:shd w:val="clear" w:color="auto" w:fill="auto"/>
            <w:vAlign w:val="center"/>
          </w:tcPr>
          <w:p w14:paraId="1E604B06" w14:textId="1CB9EA7C" w:rsidR="00215036" w:rsidRPr="00215036" w:rsidRDefault="00215036" w:rsidP="00215036">
            <w:pPr>
              <w:tabs>
                <w:tab w:val="left" w:pos="540"/>
              </w:tabs>
              <w:spacing w:before="120" w:after="0"/>
              <w:jc w:val="center"/>
              <w:rPr>
                <w:rFonts w:ascii="Times New Roman" w:hAnsi="Times New Roman"/>
                <w:sz w:val="24"/>
                <w:szCs w:val="24"/>
              </w:rPr>
            </w:pPr>
            <w:r w:rsidRPr="00B4574B">
              <w:rPr>
                <w:rFonts w:ascii="Times New Roman" w:hAnsi="Times New Roman"/>
                <w:sz w:val="24"/>
                <w:szCs w:val="24"/>
              </w:rPr>
              <w:t>Not applicable</w:t>
            </w:r>
          </w:p>
        </w:tc>
        <w:tc>
          <w:tcPr>
            <w:tcW w:w="961" w:type="pct"/>
            <w:shd w:val="clear" w:color="auto" w:fill="auto"/>
            <w:vAlign w:val="center"/>
          </w:tcPr>
          <w:p w14:paraId="6F2AF01B" w14:textId="797551A7" w:rsidR="00215036" w:rsidRPr="00215036" w:rsidRDefault="00215036" w:rsidP="00215036">
            <w:pPr>
              <w:tabs>
                <w:tab w:val="left" w:pos="540"/>
              </w:tabs>
              <w:spacing w:before="120" w:after="0"/>
              <w:jc w:val="center"/>
              <w:rPr>
                <w:rFonts w:ascii="Times New Roman" w:hAnsi="Times New Roman"/>
                <w:sz w:val="24"/>
                <w:szCs w:val="24"/>
              </w:rPr>
            </w:pPr>
            <w:r w:rsidRPr="00B4574B">
              <w:rPr>
                <w:rFonts w:ascii="Times New Roman" w:hAnsi="Times New Roman"/>
                <w:sz w:val="24"/>
                <w:szCs w:val="24"/>
              </w:rPr>
              <w:t>Not applicable</w:t>
            </w:r>
          </w:p>
        </w:tc>
      </w:tr>
      <w:tr w:rsidR="00B4574B" w:rsidRPr="00315A8E" w14:paraId="4CC4F0AA" w14:textId="77777777" w:rsidTr="00315A8E">
        <w:tc>
          <w:tcPr>
            <w:tcW w:w="2115" w:type="pct"/>
            <w:shd w:val="clear" w:color="auto" w:fill="auto"/>
            <w:vAlign w:val="center"/>
          </w:tcPr>
          <w:p w14:paraId="01DC28A3" w14:textId="4D45142E" w:rsidR="00B4574B" w:rsidRPr="00315A8E" w:rsidRDefault="00B4574B" w:rsidP="00B4574B">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10.</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Gross distributed earning per unit (VND)</w:t>
            </w:r>
          </w:p>
        </w:tc>
        <w:tc>
          <w:tcPr>
            <w:tcW w:w="962" w:type="pct"/>
            <w:shd w:val="clear" w:color="auto" w:fill="auto"/>
            <w:vAlign w:val="center"/>
          </w:tcPr>
          <w:p w14:paraId="760FA637" w14:textId="4FB3AC0D"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hAnsi="Times New Roman"/>
                <w:sz w:val="24"/>
                <w:szCs w:val="24"/>
              </w:rPr>
              <w:t>Not applicable</w:t>
            </w:r>
          </w:p>
        </w:tc>
        <w:tc>
          <w:tcPr>
            <w:tcW w:w="962" w:type="pct"/>
            <w:shd w:val="clear" w:color="auto" w:fill="auto"/>
            <w:vAlign w:val="center"/>
          </w:tcPr>
          <w:p w14:paraId="5168843E" w14:textId="1463AA41"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c>
          <w:tcPr>
            <w:tcW w:w="961" w:type="pct"/>
            <w:shd w:val="clear" w:color="auto" w:fill="auto"/>
            <w:vAlign w:val="center"/>
          </w:tcPr>
          <w:p w14:paraId="31A61D75" w14:textId="2BC08687"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r>
      <w:tr w:rsidR="00B4574B" w:rsidRPr="00315A8E" w14:paraId="6EAB03D4" w14:textId="77777777" w:rsidTr="00315A8E">
        <w:tc>
          <w:tcPr>
            <w:tcW w:w="2115" w:type="pct"/>
            <w:shd w:val="clear" w:color="auto" w:fill="auto"/>
            <w:vAlign w:val="center"/>
          </w:tcPr>
          <w:p w14:paraId="3A517776" w14:textId="76CD6987" w:rsidR="00B4574B" w:rsidRPr="00315A8E" w:rsidRDefault="00B4574B" w:rsidP="00B4574B">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11.</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Net distributed earning per unit (VND)</w:t>
            </w:r>
          </w:p>
        </w:tc>
        <w:tc>
          <w:tcPr>
            <w:tcW w:w="962" w:type="pct"/>
            <w:shd w:val="clear" w:color="auto" w:fill="auto"/>
            <w:vAlign w:val="center"/>
          </w:tcPr>
          <w:p w14:paraId="6260AB34" w14:textId="0C2ABB55"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hAnsi="Times New Roman"/>
                <w:sz w:val="24"/>
                <w:szCs w:val="24"/>
              </w:rPr>
              <w:t>Not applicable</w:t>
            </w:r>
          </w:p>
        </w:tc>
        <w:tc>
          <w:tcPr>
            <w:tcW w:w="962" w:type="pct"/>
            <w:shd w:val="clear" w:color="auto" w:fill="auto"/>
            <w:vAlign w:val="center"/>
          </w:tcPr>
          <w:p w14:paraId="3194D2B7" w14:textId="05E073CD"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c>
          <w:tcPr>
            <w:tcW w:w="961" w:type="pct"/>
            <w:shd w:val="clear" w:color="auto" w:fill="auto"/>
            <w:vAlign w:val="center"/>
          </w:tcPr>
          <w:p w14:paraId="356494BE" w14:textId="716B8F4F"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r>
      <w:tr w:rsidR="00B4574B" w:rsidRPr="00315A8E" w14:paraId="484A1706" w14:textId="77777777" w:rsidTr="00315A8E">
        <w:tc>
          <w:tcPr>
            <w:tcW w:w="2115" w:type="pct"/>
            <w:shd w:val="clear" w:color="auto" w:fill="auto"/>
            <w:vAlign w:val="center"/>
          </w:tcPr>
          <w:p w14:paraId="31BECECF" w14:textId="2AD695B4" w:rsidR="00B4574B" w:rsidRPr="00315A8E" w:rsidRDefault="00B4574B" w:rsidP="00B4574B">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12.</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Ex-date of distribution</w:t>
            </w:r>
          </w:p>
        </w:tc>
        <w:tc>
          <w:tcPr>
            <w:tcW w:w="962" w:type="pct"/>
            <w:shd w:val="clear" w:color="auto" w:fill="auto"/>
            <w:vAlign w:val="center"/>
          </w:tcPr>
          <w:p w14:paraId="0010992B" w14:textId="256B7C86"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hAnsi="Times New Roman"/>
                <w:sz w:val="24"/>
                <w:szCs w:val="24"/>
              </w:rPr>
              <w:t>Not applicable</w:t>
            </w:r>
          </w:p>
        </w:tc>
        <w:tc>
          <w:tcPr>
            <w:tcW w:w="962" w:type="pct"/>
            <w:shd w:val="clear" w:color="auto" w:fill="auto"/>
            <w:vAlign w:val="center"/>
          </w:tcPr>
          <w:p w14:paraId="17D0C26B" w14:textId="3F0AC7C1"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c>
          <w:tcPr>
            <w:tcW w:w="961" w:type="pct"/>
            <w:shd w:val="clear" w:color="auto" w:fill="auto"/>
            <w:vAlign w:val="center"/>
          </w:tcPr>
          <w:p w14:paraId="3EBF3467" w14:textId="0C8AA01F" w:rsidR="00B4574B" w:rsidRPr="00315A8E" w:rsidRDefault="00B4574B" w:rsidP="00B4574B">
            <w:pPr>
              <w:tabs>
                <w:tab w:val="left" w:pos="540"/>
              </w:tabs>
              <w:spacing w:before="120" w:after="0"/>
              <w:jc w:val="center"/>
              <w:rPr>
                <w:rFonts w:ascii="Times New Roman" w:eastAsia="Times New Roman" w:hAnsi="Times New Roman"/>
                <w:sz w:val="24"/>
                <w:szCs w:val="24"/>
                <w:lang w:val="nl-NL"/>
              </w:rPr>
            </w:pPr>
            <w:r w:rsidRPr="00B4574B">
              <w:rPr>
                <w:rFonts w:ascii="Times New Roman" w:eastAsia="Times New Roman" w:hAnsi="Times New Roman"/>
                <w:sz w:val="24"/>
                <w:szCs w:val="24"/>
                <w:lang w:val="nl-NL"/>
              </w:rPr>
              <w:t>Not applicable</w:t>
            </w:r>
          </w:p>
        </w:tc>
      </w:tr>
      <w:tr w:rsidR="00A35427" w:rsidRPr="00315A8E" w14:paraId="59EE0EC7" w14:textId="77777777" w:rsidTr="008649A6">
        <w:tc>
          <w:tcPr>
            <w:tcW w:w="2115" w:type="pct"/>
            <w:shd w:val="clear" w:color="auto" w:fill="auto"/>
            <w:vAlign w:val="center"/>
          </w:tcPr>
          <w:p w14:paraId="5D620D01" w14:textId="18111300"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13.</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Operation expenses/Average NAV (%)</w:t>
            </w:r>
          </w:p>
        </w:tc>
        <w:tc>
          <w:tcPr>
            <w:tcW w:w="962" w:type="pct"/>
            <w:shd w:val="clear" w:color="auto" w:fill="auto"/>
          </w:tcPr>
          <w:p w14:paraId="1599D8AD" w14:textId="768BE887"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2.42</w:t>
            </w:r>
          </w:p>
        </w:tc>
        <w:tc>
          <w:tcPr>
            <w:tcW w:w="962" w:type="pct"/>
            <w:shd w:val="clear" w:color="auto" w:fill="auto"/>
          </w:tcPr>
          <w:p w14:paraId="4A1A1B3F" w14:textId="5B9E731D"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2.92</w:t>
            </w:r>
          </w:p>
        </w:tc>
        <w:tc>
          <w:tcPr>
            <w:tcW w:w="961" w:type="pct"/>
            <w:shd w:val="clear" w:color="auto" w:fill="auto"/>
          </w:tcPr>
          <w:p w14:paraId="669414C7" w14:textId="345DB1D3"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2.77</w:t>
            </w:r>
          </w:p>
        </w:tc>
      </w:tr>
      <w:tr w:rsidR="00A35427" w:rsidRPr="00315A8E" w14:paraId="5F792137" w14:textId="77777777" w:rsidTr="008649A6">
        <w:tc>
          <w:tcPr>
            <w:tcW w:w="2115" w:type="pct"/>
            <w:shd w:val="clear" w:color="auto" w:fill="auto"/>
            <w:vAlign w:val="center"/>
          </w:tcPr>
          <w:p w14:paraId="1CB9C522" w14:textId="01664D59"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14.</w:t>
            </w:r>
            <w:r>
              <w:rPr>
                <w:rFonts w:ascii="Times New Roman" w:eastAsia="Times New Roman" w:hAnsi="Times New Roman"/>
                <w:sz w:val="24"/>
                <w:szCs w:val="24"/>
                <w:lang w:val="nl-NL"/>
              </w:rPr>
              <w:t xml:space="preserve"> </w:t>
            </w:r>
            <w:r w:rsidRPr="00E8531C">
              <w:rPr>
                <w:rFonts w:ascii="Times New Roman" w:eastAsia="Times New Roman" w:hAnsi="Times New Roman"/>
                <w:sz w:val="24"/>
                <w:szCs w:val="24"/>
                <w:lang w:val="nl-NL"/>
              </w:rPr>
              <w:t>Turnover of investment portfolio (%)</w:t>
            </w:r>
          </w:p>
        </w:tc>
        <w:tc>
          <w:tcPr>
            <w:tcW w:w="962" w:type="pct"/>
            <w:shd w:val="clear" w:color="auto" w:fill="auto"/>
          </w:tcPr>
          <w:p w14:paraId="1DCC5EDA" w14:textId="70648710"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222.84</w:t>
            </w:r>
          </w:p>
        </w:tc>
        <w:tc>
          <w:tcPr>
            <w:tcW w:w="962" w:type="pct"/>
            <w:shd w:val="clear" w:color="auto" w:fill="auto"/>
          </w:tcPr>
          <w:p w14:paraId="445F9F32" w14:textId="68B2F494"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275.43</w:t>
            </w:r>
          </w:p>
        </w:tc>
        <w:tc>
          <w:tcPr>
            <w:tcW w:w="961" w:type="pct"/>
            <w:shd w:val="clear" w:color="auto" w:fill="auto"/>
          </w:tcPr>
          <w:p w14:paraId="236B1E60" w14:textId="097BC040" w:rsidR="00A35427" w:rsidRPr="001A3F4D"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176.59</w:t>
            </w:r>
          </w:p>
        </w:tc>
      </w:tr>
    </w:tbl>
    <w:p w14:paraId="169AA3BF" w14:textId="25E935DF" w:rsidR="00BE6F63" w:rsidRPr="00893D4C" w:rsidRDefault="001C4F41" w:rsidP="000B0C18">
      <w:pPr>
        <w:shd w:val="clear" w:color="auto" w:fill="FFFFFF"/>
        <w:tabs>
          <w:tab w:val="left" w:pos="540"/>
        </w:tabs>
        <w:spacing w:before="120"/>
        <w:jc w:val="both"/>
        <w:rPr>
          <w:rFonts w:ascii="Times New Roman" w:hAnsi="Times New Roman"/>
          <w:sz w:val="24"/>
          <w:szCs w:val="24"/>
          <w:lang w:val="nl-NL"/>
        </w:rPr>
      </w:pPr>
      <w:r w:rsidRPr="00893D4C">
        <w:rPr>
          <w:rFonts w:ascii="Times New Roman" w:hAnsi="Times New Roman"/>
          <w:b/>
          <w:sz w:val="24"/>
          <w:szCs w:val="24"/>
          <w:lang w:val="nl-NL"/>
        </w:rPr>
        <w:t>2.</w:t>
      </w:r>
      <w:r w:rsidR="00BE6F63" w:rsidRPr="00893D4C">
        <w:rPr>
          <w:rFonts w:ascii="Times New Roman" w:hAnsi="Times New Roman"/>
          <w:b/>
          <w:sz w:val="24"/>
          <w:szCs w:val="24"/>
          <w:lang w:val="nl-NL"/>
        </w:rPr>
        <w:t>3.</w:t>
      </w:r>
      <w:r w:rsidR="00917711" w:rsidRPr="00893D4C">
        <w:rPr>
          <w:rFonts w:ascii="Times New Roman" w:hAnsi="Times New Roman"/>
          <w:b/>
          <w:sz w:val="24"/>
          <w:szCs w:val="24"/>
          <w:lang w:val="nl-NL"/>
        </w:rPr>
        <w:t xml:space="preserve"> Growth overtime</w:t>
      </w:r>
      <w:r w:rsidR="00BE6F63" w:rsidRPr="00893D4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893D4C" w14:paraId="2A501907" w14:textId="77777777" w:rsidTr="00F21EFB">
        <w:tc>
          <w:tcPr>
            <w:tcW w:w="2115" w:type="pct"/>
            <w:shd w:val="clear" w:color="auto" w:fill="auto"/>
            <w:vAlign w:val="center"/>
          </w:tcPr>
          <w:p w14:paraId="45889D1E" w14:textId="5BF68538" w:rsidR="00BE6F63" w:rsidRPr="00893D4C" w:rsidRDefault="00917711" w:rsidP="000B0C18">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Period</w:t>
            </w:r>
          </w:p>
        </w:tc>
        <w:tc>
          <w:tcPr>
            <w:tcW w:w="1444" w:type="pct"/>
            <w:shd w:val="clear" w:color="auto" w:fill="auto"/>
            <w:vAlign w:val="center"/>
          </w:tcPr>
          <w:p w14:paraId="250073B9" w14:textId="6F9EF75E" w:rsidR="00BE6F63" w:rsidRPr="00893D4C" w:rsidRDefault="00BE6F63" w:rsidP="000B0C18">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T</w:t>
            </w:r>
            <w:r w:rsidR="001A485F" w:rsidRPr="00893D4C">
              <w:rPr>
                <w:rFonts w:ascii="Times New Roman" w:eastAsia="Times New Roman" w:hAnsi="Times New Roman"/>
                <w:b/>
                <w:sz w:val="24"/>
                <w:szCs w:val="24"/>
                <w:lang w:val="nl-NL"/>
              </w:rPr>
              <w:t>otal growth of</w:t>
            </w:r>
            <w:r w:rsidRPr="00893D4C">
              <w:rPr>
                <w:rFonts w:ascii="Times New Roman" w:eastAsia="Times New Roman" w:hAnsi="Times New Roman"/>
                <w:b/>
                <w:sz w:val="24"/>
                <w:szCs w:val="24"/>
                <w:lang w:val="nl-NL"/>
              </w:rPr>
              <w:t xml:space="preserve"> NAV/</w:t>
            </w:r>
            <w:r w:rsidR="001A485F" w:rsidRPr="00893D4C">
              <w:rPr>
                <w:rFonts w:ascii="Times New Roman" w:eastAsia="Times New Roman" w:hAnsi="Times New Roman"/>
                <w:b/>
                <w:sz w:val="24"/>
                <w:szCs w:val="24"/>
                <w:lang w:val="nl-NL"/>
              </w:rPr>
              <w:t>fund unit</w:t>
            </w:r>
            <w:r w:rsidR="00FC5663" w:rsidRPr="00893D4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71A43B2D" w:rsidR="00BE6F63" w:rsidRPr="00893D4C" w:rsidRDefault="001A485F" w:rsidP="000B0C18">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Annual growth of</w:t>
            </w:r>
            <w:r w:rsidR="00BE6F63" w:rsidRPr="00893D4C">
              <w:rPr>
                <w:rFonts w:ascii="Times New Roman" w:eastAsia="Times New Roman" w:hAnsi="Times New Roman"/>
                <w:b/>
                <w:sz w:val="24"/>
                <w:szCs w:val="24"/>
                <w:lang w:val="nl-NL"/>
              </w:rPr>
              <w:t xml:space="preserve"> NAV/CCQ</w:t>
            </w:r>
            <w:r w:rsidR="00FC5663" w:rsidRPr="00893D4C">
              <w:rPr>
                <w:rFonts w:ascii="Times New Roman" w:eastAsia="Times New Roman" w:hAnsi="Times New Roman"/>
                <w:b/>
                <w:sz w:val="24"/>
                <w:szCs w:val="24"/>
                <w:lang w:val="nl-NL"/>
              </w:rPr>
              <w:t xml:space="preserve"> (%)</w:t>
            </w:r>
          </w:p>
        </w:tc>
      </w:tr>
      <w:tr w:rsidR="00A35427" w:rsidRPr="00893D4C" w14:paraId="5EEB48C6" w14:textId="77777777" w:rsidTr="005C52FD">
        <w:tc>
          <w:tcPr>
            <w:tcW w:w="2115" w:type="pct"/>
            <w:shd w:val="clear" w:color="auto" w:fill="auto"/>
            <w:vAlign w:val="center"/>
          </w:tcPr>
          <w:p w14:paraId="5DDCFCF4" w14:textId="21ED3F63" w:rsidR="00A35427" w:rsidRPr="00893D4C" w:rsidRDefault="00A35427" w:rsidP="00A35427">
            <w:pPr>
              <w:tabs>
                <w:tab w:val="left" w:pos="540"/>
              </w:tabs>
              <w:spacing w:before="120" w:after="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- 1 year</w:t>
            </w:r>
          </w:p>
        </w:tc>
        <w:tc>
          <w:tcPr>
            <w:tcW w:w="1444" w:type="pct"/>
            <w:shd w:val="clear" w:color="auto" w:fill="auto"/>
          </w:tcPr>
          <w:p w14:paraId="01E10D90" w14:textId="3A3472CC"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15.87</w:t>
            </w:r>
          </w:p>
        </w:tc>
        <w:tc>
          <w:tcPr>
            <w:tcW w:w="1441" w:type="pct"/>
            <w:shd w:val="clear" w:color="auto" w:fill="auto"/>
          </w:tcPr>
          <w:p w14:paraId="31D1F686" w14:textId="1B522D65"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15.87</w:t>
            </w:r>
          </w:p>
        </w:tc>
      </w:tr>
      <w:tr w:rsidR="00A35427" w:rsidRPr="00893D4C" w14:paraId="3E717F15" w14:textId="77777777" w:rsidTr="005C52FD">
        <w:tc>
          <w:tcPr>
            <w:tcW w:w="2115" w:type="pct"/>
            <w:shd w:val="clear" w:color="auto" w:fill="auto"/>
            <w:vAlign w:val="center"/>
          </w:tcPr>
          <w:p w14:paraId="0353B976" w14:textId="4BC79066" w:rsidR="00A35427" w:rsidRPr="00893D4C" w:rsidRDefault="00A35427" w:rsidP="00A35427">
            <w:pPr>
              <w:tabs>
                <w:tab w:val="left" w:pos="540"/>
              </w:tabs>
              <w:spacing w:before="120" w:after="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- 3 years</w:t>
            </w:r>
          </w:p>
        </w:tc>
        <w:tc>
          <w:tcPr>
            <w:tcW w:w="1444" w:type="pct"/>
            <w:shd w:val="clear" w:color="auto" w:fill="auto"/>
          </w:tcPr>
          <w:p w14:paraId="3DFE9C10" w14:textId="0924C5B1"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-1.99</w:t>
            </w:r>
          </w:p>
        </w:tc>
        <w:tc>
          <w:tcPr>
            <w:tcW w:w="1441" w:type="pct"/>
            <w:shd w:val="clear" w:color="auto" w:fill="auto"/>
          </w:tcPr>
          <w:p w14:paraId="6BB5F47E" w14:textId="3AA44559"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-0.67</w:t>
            </w:r>
          </w:p>
        </w:tc>
      </w:tr>
      <w:tr w:rsidR="00A35427" w:rsidRPr="00893D4C" w14:paraId="15A9300F" w14:textId="77777777" w:rsidTr="005C52FD">
        <w:tc>
          <w:tcPr>
            <w:tcW w:w="2115" w:type="pct"/>
            <w:shd w:val="clear" w:color="auto" w:fill="auto"/>
            <w:vAlign w:val="center"/>
          </w:tcPr>
          <w:p w14:paraId="23252578" w14:textId="1D398CBD" w:rsidR="00A35427" w:rsidRPr="00893D4C" w:rsidRDefault="00A35427" w:rsidP="00A35427">
            <w:pPr>
              <w:tabs>
                <w:tab w:val="left" w:pos="540"/>
              </w:tabs>
              <w:spacing w:before="120" w:after="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 From establisment date</w:t>
            </w:r>
          </w:p>
        </w:tc>
        <w:tc>
          <w:tcPr>
            <w:tcW w:w="1444" w:type="pct"/>
            <w:shd w:val="clear" w:color="auto" w:fill="auto"/>
          </w:tcPr>
          <w:p w14:paraId="631B2217" w14:textId="62C0D903"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60.96</w:t>
            </w:r>
          </w:p>
        </w:tc>
        <w:tc>
          <w:tcPr>
            <w:tcW w:w="1441" w:type="pct"/>
            <w:shd w:val="clear" w:color="auto" w:fill="auto"/>
          </w:tcPr>
          <w:p w14:paraId="22F7C0B9" w14:textId="4B053003" w:rsidR="00A35427" w:rsidRPr="00893D4C" w:rsidRDefault="00A35427" w:rsidP="00A35427">
            <w:pPr>
              <w:tabs>
                <w:tab w:val="left" w:pos="540"/>
              </w:tabs>
              <w:spacing w:before="120" w:after="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8.26</w:t>
            </w:r>
          </w:p>
        </w:tc>
      </w:tr>
    </w:tbl>
    <w:p w14:paraId="2FB699CF" w14:textId="5005BF45" w:rsidR="00BE6F63" w:rsidRPr="00893D4C" w:rsidRDefault="001C4F41" w:rsidP="000B0C18">
      <w:pPr>
        <w:shd w:val="clear" w:color="auto" w:fill="FFFFFF"/>
        <w:tabs>
          <w:tab w:val="left" w:pos="540"/>
        </w:tabs>
        <w:spacing w:before="120"/>
        <w:jc w:val="both"/>
        <w:rPr>
          <w:rFonts w:ascii="Times New Roman" w:hAnsi="Times New Roman"/>
          <w:b/>
          <w:sz w:val="24"/>
          <w:szCs w:val="24"/>
          <w:lang w:val="nl-NL"/>
        </w:rPr>
      </w:pPr>
      <w:r w:rsidRPr="00893D4C">
        <w:rPr>
          <w:rFonts w:ascii="Times New Roman" w:hAnsi="Times New Roman"/>
          <w:b/>
          <w:sz w:val="24"/>
          <w:szCs w:val="24"/>
          <w:lang w:val="nl-NL"/>
        </w:rPr>
        <w:t>2.</w:t>
      </w:r>
      <w:r w:rsidR="00BE6F63" w:rsidRPr="00893D4C">
        <w:rPr>
          <w:rFonts w:ascii="Times New Roman" w:hAnsi="Times New Roman"/>
          <w:b/>
          <w:sz w:val="24"/>
          <w:szCs w:val="24"/>
          <w:lang w:val="nl-NL"/>
        </w:rPr>
        <w:t xml:space="preserve">4. </w:t>
      </w:r>
      <w:r w:rsidR="00413420" w:rsidRPr="00893D4C">
        <w:rPr>
          <w:rFonts w:ascii="Times New Roman" w:hAnsi="Times New Roman"/>
          <w:b/>
          <w:sz w:val="24"/>
          <w:szCs w:val="24"/>
          <w:lang w:val="nl-NL"/>
        </w:rPr>
        <w:t>Annual growth</w:t>
      </w:r>
      <w:r w:rsidR="00BE6F63" w:rsidRPr="00893D4C">
        <w:rPr>
          <w:rFonts w:ascii="Times New Roman" w:hAnsi="Times New Roman"/>
          <w:b/>
          <w:sz w:val="24"/>
          <w:szCs w:val="24"/>
          <w:lang w:val="nl-NL"/>
        </w:rPr>
        <w:t>:</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0"/>
        <w:gridCol w:w="1800"/>
        <w:gridCol w:w="1800"/>
      </w:tblGrid>
      <w:tr w:rsidR="00A35427" w:rsidRPr="00893D4C" w14:paraId="6BD9BADA" w14:textId="77777777" w:rsidTr="00FF0271">
        <w:tc>
          <w:tcPr>
            <w:tcW w:w="2114" w:type="pct"/>
            <w:shd w:val="clear" w:color="auto" w:fill="auto"/>
          </w:tcPr>
          <w:p w14:paraId="0B375C4A" w14:textId="4F99C75D"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Period</w:t>
            </w:r>
          </w:p>
        </w:tc>
        <w:tc>
          <w:tcPr>
            <w:tcW w:w="962" w:type="pct"/>
            <w:shd w:val="clear" w:color="auto" w:fill="auto"/>
            <w:vAlign w:val="center"/>
          </w:tcPr>
          <w:p w14:paraId="3BA28913" w14:textId="77777777" w:rsidR="00A35427" w:rsidRPr="00893D4C" w:rsidRDefault="00A35427" w:rsidP="00A35427">
            <w:pPr>
              <w:tabs>
                <w:tab w:val="left" w:pos="540"/>
              </w:tabs>
              <w:spacing w:after="0" w:line="240" w:lineRule="auto"/>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31/12/2024</w:t>
            </w:r>
          </w:p>
          <w:p w14:paraId="4D4EEB62" w14:textId="657165E8"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w:t>
            </w:r>
          </w:p>
        </w:tc>
        <w:tc>
          <w:tcPr>
            <w:tcW w:w="962" w:type="pct"/>
            <w:shd w:val="clear" w:color="auto" w:fill="auto"/>
            <w:vAlign w:val="center"/>
          </w:tcPr>
          <w:p w14:paraId="489E6513" w14:textId="77777777" w:rsidR="00A35427" w:rsidRPr="00893D4C" w:rsidRDefault="00A35427" w:rsidP="00A35427">
            <w:pPr>
              <w:tabs>
                <w:tab w:val="left" w:pos="540"/>
              </w:tabs>
              <w:spacing w:after="0" w:line="240" w:lineRule="auto"/>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31/12/2023</w:t>
            </w:r>
          </w:p>
          <w:p w14:paraId="595F60E4" w14:textId="7F98720D"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w:t>
            </w:r>
          </w:p>
        </w:tc>
        <w:tc>
          <w:tcPr>
            <w:tcW w:w="962" w:type="pct"/>
            <w:shd w:val="clear" w:color="auto" w:fill="auto"/>
            <w:vAlign w:val="center"/>
          </w:tcPr>
          <w:p w14:paraId="6D69243E" w14:textId="77777777" w:rsidR="00A35427" w:rsidRPr="00893D4C" w:rsidRDefault="00A35427" w:rsidP="00A35427">
            <w:pPr>
              <w:tabs>
                <w:tab w:val="left" w:pos="540"/>
              </w:tabs>
              <w:spacing w:after="0" w:line="240" w:lineRule="auto"/>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31/12/2022</w:t>
            </w:r>
          </w:p>
          <w:p w14:paraId="2B058C43" w14:textId="75A054E8" w:rsidR="00A35427" w:rsidRPr="00893D4C" w:rsidRDefault="00A35427" w:rsidP="00A35427">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w:t>
            </w:r>
          </w:p>
        </w:tc>
      </w:tr>
      <w:tr w:rsidR="00A35427" w:rsidRPr="00893D4C" w14:paraId="2450D773" w14:textId="77777777" w:rsidTr="00534881">
        <w:tc>
          <w:tcPr>
            <w:tcW w:w="2114" w:type="pct"/>
            <w:shd w:val="clear" w:color="auto" w:fill="auto"/>
          </w:tcPr>
          <w:p w14:paraId="1AE229FE" w14:textId="2B95B541" w:rsidR="00A35427" w:rsidRPr="00893D4C" w:rsidRDefault="00A35427" w:rsidP="00A35427">
            <w:pPr>
              <w:tabs>
                <w:tab w:val="left" w:pos="540"/>
              </w:tabs>
              <w:spacing w:before="120"/>
              <w:jc w:val="both"/>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Growth ratio (%)/fund unit</w:t>
            </w:r>
          </w:p>
        </w:tc>
        <w:tc>
          <w:tcPr>
            <w:tcW w:w="962" w:type="pct"/>
            <w:shd w:val="clear" w:color="auto" w:fill="auto"/>
          </w:tcPr>
          <w:p w14:paraId="7171C538" w14:textId="53958819" w:rsidR="00A35427" w:rsidRPr="00893D4C" w:rsidRDefault="00A35427" w:rsidP="00A35427">
            <w:pPr>
              <w:tabs>
                <w:tab w:val="left" w:pos="540"/>
              </w:tabs>
              <w:spacing w:before="12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15.87</w:t>
            </w:r>
          </w:p>
        </w:tc>
        <w:tc>
          <w:tcPr>
            <w:tcW w:w="962" w:type="pct"/>
            <w:shd w:val="clear" w:color="auto" w:fill="auto"/>
          </w:tcPr>
          <w:p w14:paraId="34A7EE47" w14:textId="2A93183A" w:rsidR="00A35427" w:rsidRPr="00893D4C" w:rsidRDefault="00A35427" w:rsidP="00A35427">
            <w:pPr>
              <w:tabs>
                <w:tab w:val="left" w:pos="540"/>
              </w:tabs>
              <w:spacing w:before="12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12.94</w:t>
            </w:r>
          </w:p>
        </w:tc>
        <w:tc>
          <w:tcPr>
            <w:tcW w:w="962" w:type="pct"/>
            <w:shd w:val="clear" w:color="auto" w:fill="auto"/>
          </w:tcPr>
          <w:p w14:paraId="296CFA3A" w14:textId="6815272F" w:rsidR="00A35427" w:rsidRPr="00893D4C" w:rsidRDefault="00A35427" w:rsidP="00A35427">
            <w:pPr>
              <w:tabs>
                <w:tab w:val="left" w:pos="540"/>
              </w:tabs>
              <w:spacing w:before="120"/>
              <w:jc w:val="center"/>
              <w:rPr>
                <w:rFonts w:ascii="Times New Roman" w:eastAsia="Times New Roman" w:hAnsi="Times New Roman"/>
                <w:sz w:val="24"/>
                <w:szCs w:val="24"/>
                <w:lang w:val="nl-NL"/>
              </w:rPr>
            </w:pPr>
            <w:r w:rsidRPr="00893D4C">
              <w:rPr>
                <w:rFonts w:ascii="Times New Roman" w:eastAsia="Times New Roman" w:hAnsi="Times New Roman"/>
                <w:sz w:val="24"/>
                <w:szCs w:val="24"/>
                <w:lang w:val="nl-NL"/>
              </w:rPr>
              <w:t>-25.10</w:t>
            </w:r>
          </w:p>
        </w:tc>
      </w:tr>
    </w:tbl>
    <w:p w14:paraId="04D76C6E" w14:textId="77647B66" w:rsidR="00BE6F63" w:rsidRPr="00893D4C" w:rsidRDefault="001C4F41" w:rsidP="000B0C18">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3</w:t>
      </w:r>
      <w:r w:rsidR="00BE6F63" w:rsidRPr="00893D4C">
        <w:rPr>
          <w:rFonts w:ascii="Times New Roman" w:hAnsi="Times New Roman"/>
          <w:b/>
          <w:sz w:val="24"/>
          <w:szCs w:val="24"/>
          <w:lang w:val="nl-NL"/>
        </w:rPr>
        <w:t xml:space="preserve">. </w:t>
      </w:r>
      <w:r w:rsidR="00524F6F" w:rsidRPr="00893D4C">
        <w:rPr>
          <w:rFonts w:ascii="Times New Roman" w:hAnsi="Times New Roman"/>
          <w:b/>
          <w:sz w:val="24"/>
          <w:szCs w:val="24"/>
          <w:lang w:val="nl-NL"/>
        </w:rPr>
        <w:t>Market overview</w:t>
      </w:r>
      <w:r w:rsidR="00BE6F63" w:rsidRPr="00893D4C">
        <w:rPr>
          <w:rFonts w:ascii="Times New Roman" w:hAnsi="Times New Roman"/>
          <w:b/>
          <w:sz w:val="24"/>
          <w:szCs w:val="24"/>
          <w:lang w:val="nl-NL"/>
        </w:rPr>
        <w:t>:</w:t>
      </w:r>
    </w:p>
    <w:p w14:paraId="51F68C8A" w14:textId="77777777" w:rsidR="00741B8C" w:rsidRPr="00741B8C" w:rsidRDefault="00741B8C" w:rsidP="00741B8C">
      <w:pPr>
        <w:shd w:val="clear" w:color="auto" w:fill="FFFFFF"/>
        <w:tabs>
          <w:tab w:val="left" w:pos="540"/>
        </w:tabs>
        <w:spacing w:after="0"/>
        <w:jc w:val="both"/>
        <w:rPr>
          <w:rFonts w:ascii="Times New Roman" w:hAnsi="Times New Roman"/>
          <w:sz w:val="24"/>
          <w:szCs w:val="24"/>
        </w:rPr>
      </w:pPr>
      <w:r w:rsidRPr="00741B8C">
        <w:rPr>
          <w:rFonts w:ascii="Times New Roman" w:hAnsi="Times New Roman"/>
          <w:sz w:val="24"/>
          <w:szCs w:val="24"/>
        </w:rPr>
        <w:t xml:space="preserve">The fourth quarter of 2024 unfolded amidst a global context of ongoing uncertainties carried over from 2023. The Russia-Ukraine conflict remains unresolved, and tensions in the Middle East continue escalating with increasingly complex developments. Meanwhile, although the Federal Reserve followed its planned interest rate cuts in 2024, there are signals that the pace of reductions may slow in 2025. China’s economy is experiencing sluggish growth, prompting its government </w:t>
      </w:r>
      <w:r w:rsidRPr="00741B8C">
        <w:rPr>
          <w:rFonts w:ascii="Times New Roman" w:hAnsi="Times New Roman"/>
          <w:sz w:val="24"/>
          <w:szCs w:val="24"/>
        </w:rPr>
        <w:lastRenderedPageBreak/>
        <w:t>to implement robust stimulus policies. Additionally, the market is closely monitoring the anticipated impacts of policy directions from the newly elected U.S. president starting in 2025.</w:t>
      </w:r>
    </w:p>
    <w:p w14:paraId="7A7A6E75" w14:textId="77777777" w:rsidR="00741B8C" w:rsidRPr="00741B8C" w:rsidRDefault="00741B8C" w:rsidP="00741B8C">
      <w:pPr>
        <w:shd w:val="clear" w:color="auto" w:fill="FFFFFF"/>
        <w:tabs>
          <w:tab w:val="left" w:pos="540"/>
        </w:tabs>
        <w:spacing w:after="0"/>
        <w:jc w:val="both"/>
        <w:rPr>
          <w:rFonts w:ascii="Times New Roman" w:hAnsi="Times New Roman"/>
          <w:sz w:val="24"/>
          <w:szCs w:val="24"/>
        </w:rPr>
      </w:pPr>
      <w:r w:rsidRPr="00741B8C">
        <w:rPr>
          <w:rFonts w:ascii="Times New Roman" w:hAnsi="Times New Roman"/>
          <w:sz w:val="24"/>
          <w:szCs w:val="24"/>
        </w:rPr>
        <w:t>Domestically, the Government has introduced a range of economic stimulus measures, including VAT reductions, credit growth promotion, exchange rate stabilization, and acceleration of public investment disbursement. However, public investment disbursement remains below target, the real estate market continues to face challenges, and domestic consumption recovery is progressing slowly.</w:t>
      </w:r>
    </w:p>
    <w:p w14:paraId="45EC8706" w14:textId="77777777" w:rsidR="00741B8C" w:rsidRPr="00741B8C" w:rsidRDefault="00741B8C" w:rsidP="00741B8C">
      <w:pPr>
        <w:shd w:val="clear" w:color="auto" w:fill="FFFFFF"/>
        <w:tabs>
          <w:tab w:val="left" w:pos="540"/>
        </w:tabs>
        <w:spacing w:after="0"/>
        <w:jc w:val="both"/>
        <w:rPr>
          <w:rFonts w:ascii="Times New Roman" w:hAnsi="Times New Roman"/>
          <w:sz w:val="24"/>
          <w:szCs w:val="24"/>
        </w:rPr>
      </w:pPr>
      <w:r w:rsidRPr="00741B8C">
        <w:rPr>
          <w:rFonts w:ascii="Times New Roman" w:hAnsi="Times New Roman"/>
          <w:sz w:val="24"/>
          <w:szCs w:val="24"/>
        </w:rPr>
        <w:t>Despite these challenges, macroeconomic stability has been maintained. GDP growth for Q4/2024 is estimated at 7.55% year-on-year. Among the contributing sectors, agriculture, forestry, and fisheries grew by 2.99%, contributing 4.86% to the overall increase in added value; industry and construction grew by 8.35%, contributing 44.03%; and services grew by 8.21%, contributing 51.11%.</w:t>
      </w:r>
    </w:p>
    <w:p w14:paraId="1E04C939" w14:textId="77777777" w:rsidR="00741B8C" w:rsidRPr="00741B8C" w:rsidRDefault="00741B8C" w:rsidP="00741B8C">
      <w:pPr>
        <w:shd w:val="clear" w:color="auto" w:fill="FFFFFF"/>
        <w:tabs>
          <w:tab w:val="left" w:pos="540"/>
        </w:tabs>
        <w:spacing w:after="0"/>
        <w:jc w:val="both"/>
        <w:rPr>
          <w:rFonts w:ascii="Times New Roman" w:hAnsi="Times New Roman"/>
          <w:sz w:val="24"/>
          <w:szCs w:val="24"/>
        </w:rPr>
      </w:pPr>
      <w:r w:rsidRPr="00741B8C">
        <w:rPr>
          <w:rFonts w:ascii="Times New Roman" w:hAnsi="Times New Roman"/>
          <w:sz w:val="24"/>
          <w:szCs w:val="24"/>
        </w:rPr>
        <w:t>Exports in Q4 remained a bright spot, with an estimated value of $105.9 billion, an 11.5% increase year-on-year, though slightly down by 2.5% compared to Q3/2024. Imports reached $101.9 billion, up 14.9% year-on-year and 2.2% quarter-on-quarter. Foreign direct investment (FDI) remained stable, with total realized capital for the year reaching $25.35 billion, a 9.4% increase. Inflation was well-controlled in 2024, with December’s year-on-year inflation at 2.94%, and the annual average CPI increasing by 3.63%, lower than the Government's target of 4.5%. However, the December 2024 PMI dipped below the threshold of 50, standing at 49.8 compared to November’s 50.8, signaling a slight decline in overall business conditions at the year-end.</w:t>
      </w:r>
    </w:p>
    <w:p w14:paraId="38A85398" w14:textId="77777777" w:rsidR="00741B8C" w:rsidRPr="00741B8C" w:rsidRDefault="00741B8C" w:rsidP="00741B8C">
      <w:pPr>
        <w:shd w:val="clear" w:color="auto" w:fill="FFFFFF"/>
        <w:tabs>
          <w:tab w:val="left" w:pos="540"/>
        </w:tabs>
        <w:spacing w:after="0"/>
        <w:jc w:val="both"/>
        <w:rPr>
          <w:rFonts w:ascii="Times New Roman" w:hAnsi="Times New Roman"/>
          <w:sz w:val="24"/>
          <w:szCs w:val="24"/>
        </w:rPr>
      </w:pPr>
      <w:r w:rsidRPr="00741B8C">
        <w:rPr>
          <w:rFonts w:ascii="Times New Roman" w:hAnsi="Times New Roman"/>
          <w:sz w:val="24"/>
          <w:szCs w:val="24"/>
        </w:rPr>
        <w:t>Overall, in Q4/2024, Vietnam’s economy showed a notable recovery and positive growth, particularly in manufacturing, trade, and foreign direct investment. Inflation risks have largely been mitigated; however, the exchange rate remains a significant concern, leading the State Bank to adopt a more cautious monetary policy approach at the end of the year.</w:t>
      </w:r>
    </w:p>
    <w:p w14:paraId="654A7C49" w14:textId="77777777" w:rsidR="001D3243" w:rsidRDefault="001D3243" w:rsidP="001D3243">
      <w:pPr>
        <w:shd w:val="clear" w:color="auto" w:fill="FFFFFF"/>
        <w:tabs>
          <w:tab w:val="left" w:pos="540"/>
        </w:tabs>
        <w:spacing w:after="0"/>
        <w:jc w:val="both"/>
        <w:rPr>
          <w:rFonts w:ascii="Times New Roman" w:hAnsi="Times New Roman"/>
          <w:b/>
          <w:sz w:val="24"/>
          <w:szCs w:val="24"/>
          <w:lang w:val="nl-NL"/>
        </w:rPr>
      </w:pPr>
    </w:p>
    <w:p w14:paraId="6F7298ED" w14:textId="78724F16" w:rsidR="00BE6F63" w:rsidRPr="00893D4C" w:rsidRDefault="001C4F41" w:rsidP="000B0C18">
      <w:pPr>
        <w:shd w:val="clear" w:color="auto" w:fill="FFFFFF"/>
        <w:tabs>
          <w:tab w:val="left" w:pos="540"/>
        </w:tabs>
        <w:spacing w:after="0"/>
        <w:jc w:val="both"/>
        <w:rPr>
          <w:rFonts w:ascii="Times New Roman" w:hAnsi="Times New Roman"/>
          <w:sz w:val="24"/>
          <w:szCs w:val="24"/>
          <w:lang w:val="nl-NL"/>
        </w:rPr>
      </w:pPr>
      <w:r w:rsidRPr="00893D4C">
        <w:rPr>
          <w:rFonts w:ascii="Times New Roman" w:hAnsi="Times New Roman"/>
          <w:b/>
          <w:sz w:val="24"/>
          <w:szCs w:val="24"/>
          <w:lang w:val="nl-NL"/>
        </w:rPr>
        <w:t>4</w:t>
      </w:r>
      <w:r w:rsidR="00BE6F63" w:rsidRPr="00893D4C">
        <w:rPr>
          <w:rFonts w:ascii="Times New Roman" w:hAnsi="Times New Roman"/>
          <w:b/>
          <w:sz w:val="24"/>
          <w:szCs w:val="24"/>
          <w:lang w:val="nl-NL"/>
        </w:rPr>
        <w:t xml:space="preserve">. </w:t>
      </w:r>
      <w:r w:rsidR="00FF0271" w:rsidRPr="00893D4C">
        <w:rPr>
          <w:rFonts w:ascii="Times New Roman" w:hAnsi="Times New Roman"/>
          <w:b/>
          <w:sz w:val="24"/>
          <w:szCs w:val="24"/>
          <w:lang w:val="nl-NL"/>
        </w:rPr>
        <w:t>Details of the Fund’s performance results:</w:t>
      </w:r>
    </w:p>
    <w:p w14:paraId="3C50FC83" w14:textId="53B86F06" w:rsidR="000B0C18" w:rsidRPr="00893D4C" w:rsidRDefault="00BE6F63" w:rsidP="000B0C18">
      <w:pPr>
        <w:shd w:val="clear" w:color="auto" w:fill="FFFFFF"/>
        <w:tabs>
          <w:tab w:val="left" w:pos="540"/>
        </w:tabs>
        <w:spacing w:before="120"/>
        <w:jc w:val="both"/>
        <w:rPr>
          <w:rFonts w:ascii="Times New Roman" w:hAnsi="Times New Roman"/>
          <w:b/>
          <w:sz w:val="24"/>
          <w:szCs w:val="24"/>
          <w:lang w:val="nl-NL"/>
        </w:rPr>
      </w:pPr>
      <w:r w:rsidRPr="00893D4C">
        <w:rPr>
          <w:rFonts w:ascii="Times New Roman" w:hAnsi="Times New Roman"/>
          <w:b/>
          <w:sz w:val="24"/>
          <w:szCs w:val="24"/>
          <w:lang w:val="nl-NL"/>
        </w:rPr>
        <w:t xml:space="preserve">4.1. </w:t>
      </w:r>
      <w:r w:rsidR="00FF0271" w:rsidRPr="00893D4C">
        <w:rPr>
          <w:rFonts w:ascii="Times New Roman" w:hAnsi="Times New Roman"/>
          <w:b/>
          <w:sz w:val="24"/>
          <w:szCs w:val="24"/>
          <w:lang w:val="nl-NL"/>
        </w:rPr>
        <w:t>Details of the Fund’s performance indicators</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315A8E" w14:paraId="469C209E" w14:textId="77777777" w:rsidTr="00664C68">
        <w:tc>
          <w:tcPr>
            <w:tcW w:w="1825" w:type="pct"/>
            <w:shd w:val="clear" w:color="auto" w:fill="auto"/>
            <w:vAlign w:val="center"/>
          </w:tcPr>
          <w:p w14:paraId="2FFDC4B1" w14:textId="3B7A0AB8" w:rsidR="00BE6F63" w:rsidRPr="00893D4C" w:rsidRDefault="006C7124" w:rsidP="000B0C18">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Indicators</w:t>
            </w:r>
          </w:p>
        </w:tc>
        <w:tc>
          <w:tcPr>
            <w:tcW w:w="1024" w:type="pct"/>
            <w:shd w:val="clear" w:color="auto" w:fill="auto"/>
            <w:vAlign w:val="center"/>
          </w:tcPr>
          <w:p w14:paraId="356F76B2" w14:textId="531C4832" w:rsidR="00BE6F63" w:rsidRPr="00893D4C" w:rsidRDefault="006C7124" w:rsidP="000B0C18">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1 year to reporting date</w:t>
            </w:r>
            <w:r w:rsidR="00BE6F63" w:rsidRPr="00893D4C">
              <w:rPr>
                <w:rFonts w:ascii="Times New Roman" w:eastAsia="Times New Roman" w:hAnsi="Times New Roman"/>
                <w:b/>
                <w:sz w:val="24"/>
                <w:szCs w:val="24"/>
                <w:lang w:val="nl-NL"/>
              </w:rPr>
              <w:t xml:space="preserve"> (%)</w:t>
            </w:r>
          </w:p>
        </w:tc>
        <w:tc>
          <w:tcPr>
            <w:tcW w:w="1024" w:type="pct"/>
            <w:shd w:val="clear" w:color="auto" w:fill="auto"/>
            <w:vAlign w:val="center"/>
          </w:tcPr>
          <w:p w14:paraId="10294D94" w14:textId="1830D3B2" w:rsidR="00BE6F63" w:rsidRPr="00893D4C" w:rsidRDefault="006C7124" w:rsidP="000B0C18">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 xml:space="preserve">Last </w:t>
            </w:r>
            <w:r w:rsidR="00BE6F63" w:rsidRPr="00893D4C">
              <w:rPr>
                <w:rFonts w:ascii="Times New Roman" w:eastAsia="Times New Roman" w:hAnsi="Times New Roman"/>
                <w:b/>
                <w:sz w:val="24"/>
                <w:szCs w:val="24"/>
                <w:lang w:val="nl-NL"/>
              </w:rPr>
              <w:t xml:space="preserve">3 </w:t>
            </w:r>
            <w:r w:rsidRPr="00893D4C">
              <w:rPr>
                <w:rFonts w:ascii="Times New Roman" w:eastAsia="Times New Roman" w:hAnsi="Times New Roman"/>
                <w:b/>
                <w:sz w:val="24"/>
                <w:szCs w:val="24"/>
                <w:lang w:val="nl-NL"/>
              </w:rPr>
              <w:t>years to reporting date</w:t>
            </w:r>
            <w:r w:rsidR="00BE6F63" w:rsidRPr="00893D4C">
              <w:rPr>
                <w:rFonts w:ascii="Times New Roman" w:eastAsia="Times New Roman" w:hAnsi="Times New Roman"/>
                <w:b/>
                <w:sz w:val="24"/>
                <w:szCs w:val="24"/>
                <w:lang w:val="nl-NL"/>
              </w:rPr>
              <w:t xml:space="preserve"> (%)</w:t>
            </w:r>
          </w:p>
        </w:tc>
        <w:tc>
          <w:tcPr>
            <w:tcW w:w="1127" w:type="pct"/>
            <w:shd w:val="clear" w:color="auto" w:fill="auto"/>
            <w:vAlign w:val="center"/>
          </w:tcPr>
          <w:p w14:paraId="1B91E21D" w14:textId="3373867B" w:rsidR="00BE6F63" w:rsidRPr="00315A8E" w:rsidRDefault="006C7124" w:rsidP="000B0C18">
            <w:pPr>
              <w:tabs>
                <w:tab w:val="left" w:pos="540"/>
              </w:tabs>
              <w:spacing w:after="0"/>
              <w:jc w:val="center"/>
              <w:rPr>
                <w:rFonts w:ascii="Times New Roman" w:eastAsia="Times New Roman" w:hAnsi="Times New Roman"/>
                <w:b/>
                <w:sz w:val="24"/>
                <w:szCs w:val="24"/>
                <w:lang w:val="nl-NL"/>
              </w:rPr>
            </w:pPr>
            <w:r w:rsidRPr="00893D4C">
              <w:rPr>
                <w:rFonts w:ascii="Times New Roman" w:eastAsia="Times New Roman" w:hAnsi="Times New Roman"/>
                <w:b/>
                <w:sz w:val="24"/>
                <w:szCs w:val="24"/>
                <w:lang w:val="nl-NL"/>
              </w:rPr>
              <w:t>From establishment date to reporting date</w:t>
            </w:r>
            <w:r w:rsidR="00BE6F63" w:rsidRPr="00893D4C">
              <w:rPr>
                <w:rFonts w:ascii="Times New Roman" w:eastAsia="Times New Roman" w:hAnsi="Times New Roman"/>
                <w:b/>
                <w:sz w:val="24"/>
                <w:szCs w:val="24"/>
                <w:lang w:val="nl-NL"/>
              </w:rPr>
              <w:t xml:space="preserve"> (%)</w:t>
            </w:r>
          </w:p>
        </w:tc>
      </w:tr>
      <w:tr w:rsidR="00215036" w:rsidRPr="00315A8E" w14:paraId="013F1FB5" w14:textId="77777777" w:rsidTr="0098070F">
        <w:tc>
          <w:tcPr>
            <w:tcW w:w="1825" w:type="pct"/>
            <w:shd w:val="clear" w:color="auto" w:fill="auto"/>
            <w:vAlign w:val="center"/>
          </w:tcPr>
          <w:p w14:paraId="6740DD82" w14:textId="5E230C7F" w:rsidR="00215036" w:rsidRPr="00315A8E" w:rsidRDefault="00215036" w:rsidP="00215036">
            <w:pPr>
              <w:tabs>
                <w:tab w:val="left" w:pos="540"/>
              </w:tabs>
              <w:spacing w:before="120" w:after="0"/>
              <w:jc w:val="both"/>
              <w:rPr>
                <w:rFonts w:ascii="Times New Roman" w:eastAsia="Times New Roman" w:hAnsi="Times New Roman"/>
                <w:sz w:val="24"/>
                <w:szCs w:val="24"/>
                <w:lang w:val="nl-NL"/>
              </w:rPr>
            </w:pPr>
            <w:r>
              <w:rPr>
                <w:rFonts w:ascii="Times New Roman" w:eastAsia="Times New Roman" w:hAnsi="Times New Roman"/>
                <w:sz w:val="24"/>
                <w:szCs w:val="24"/>
                <w:lang w:val="nl-NL"/>
              </w:rPr>
              <w:t>Income growth per Fund unit</w:t>
            </w:r>
          </w:p>
        </w:tc>
        <w:tc>
          <w:tcPr>
            <w:tcW w:w="1024" w:type="pct"/>
            <w:shd w:val="clear" w:color="auto" w:fill="auto"/>
          </w:tcPr>
          <w:p w14:paraId="3E7EBDC3" w14:textId="1CD6FC03" w:rsidR="00215036" w:rsidRPr="00315A8E" w:rsidRDefault="00215036" w:rsidP="00215036">
            <w:pPr>
              <w:tabs>
                <w:tab w:val="left" w:pos="540"/>
              </w:tabs>
              <w:spacing w:before="120" w:after="0"/>
              <w:jc w:val="center"/>
              <w:rPr>
                <w:rFonts w:ascii="Times New Roman" w:eastAsia="Times New Roman" w:hAnsi="Times New Roman"/>
                <w:sz w:val="24"/>
                <w:szCs w:val="24"/>
                <w:lang w:val="nl-NL"/>
              </w:rPr>
            </w:pPr>
            <w:r w:rsidRPr="00DD3136">
              <w:rPr>
                <w:rFonts w:ascii="Times New Roman" w:eastAsia="Times New Roman" w:hAnsi="Times New Roman"/>
                <w:sz w:val="24"/>
                <w:szCs w:val="24"/>
                <w:lang w:val="nl-NL"/>
              </w:rPr>
              <w:t>Not applicable</w:t>
            </w:r>
          </w:p>
        </w:tc>
        <w:tc>
          <w:tcPr>
            <w:tcW w:w="1024" w:type="pct"/>
            <w:shd w:val="clear" w:color="auto" w:fill="auto"/>
          </w:tcPr>
          <w:p w14:paraId="1F42AD25" w14:textId="1AD05CDC" w:rsidR="00215036" w:rsidRPr="00315A8E" w:rsidRDefault="00215036" w:rsidP="00215036">
            <w:pPr>
              <w:tabs>
                <w:tab w:val="left" w:pos="540"/>
              </w:tabs>
              <w:spacing w:before="120" w:after="0"/>
              <w:jc w:val="center"/>
              <w:rPr>
                <w:rFonts w:ascii="Times New Roman" w:eastAsia="Times New Roman" w:hAnsi="Times New Roman"/>
                <w:sz w:val="24"/>
                <w:szCs w:val="24"/>
                <w:lang w:val="nl-NL"/>
              </w:rPr>
            </w:pPr>
            <w:r w:rsidRPr="00DD3136">
              <w:rPr>
                <w:rFonts w:ascii="Times New Roman" w:eastAsia="Times New Roman" w:hAnsi="Times New Roman"/>
                <w:sz w:val="24"/>
                <w:szCs w:val="24"/>
                <w:lang w:val="nl-NL"/>
              </w:rPr>
              <w:t>Not applicable</w:t>
            </w:r>
          </w:p>
        </w:tc>
        <w:tc>
          <w:tcPr>
            <w:tcW w:w="1127" w:type="pct"/>
            <w:shd w:val="clear" w:color="auto" w:fill="auto"/>
          </w:tcPr>
          <w:p w14:paraId="5BF92CF8" w14:textId="2D177DCB" w:rsidR="00215036" w:rsidRPr="00215036" w:rsidRDefault="00215036" w:rsidP="00215036">
            <w:pPr>
              <w:tabs>
                <w:tab w:val="left" w:pos="540"/>
              </w:tabs>
              <w:spacing w:before="120" w:after="0"/>
              <w:jc w:val="center"/>
              <w:rPr>
                <w:rFonts w:ascii="Times New Roman" w:eastAsia="Times New Roman" w:hAnsi="Times New Roman"/>
                <w:sz w:val="24"/>
                <w:szCs w:val="24"/>
                <w:lang w:val="nl-NL"/>
              </w:rPr>
            </w:pPr>
            <w:r w:rsidRPr="00DD3136">
              <w:rPr>
                <w:rFonts w:ascii="Times New Roman" w:eastAsia="Times New Roman" w:hAnsi="Times New Roman"/>
                <w:sz w:val="24"/>
                <w:szCs w:val="24"/>
                <w:lang w:val="nl-NL"/>
              </w:rPr>
              <w:t>Not applicable</w:t>
            </w:r>
          </w:p>
        </w:tc>
      </w:tr>
      <w:tr w:rsidR="00215036" w:rsidRPr="00315A8E" w14:paraId="1A1556A7" w14:textId="77777777" w:rsidTr="0098070F">
        <w:tc>
          <w:tcPr>
            <w:tcW w:w="1825" w:type="pct"/>
            <w:shd w:val="clear" w:color="auto" w:fill="auto"/>
            <w:vAlign w:val="center"/>
          </w:tcPr>
          <w:p w14:paraId="6DB00EA9" w14:textId="6EC6EEE7" w:rsidR="00215036" w:rsidRPr="00315A8E" w:rsidRDefault="00215036" w:rsidP="00215036">
            <w:pPr>
              <w:tabs>
                <w:tab w:val="left" w:pos="540"/>
              </w:tabs>
              <w:spacing w:before="120" w:after="0"/>
              <w:jc w:val="both"/>
              <w:rPr>
                <w:rFonts w:ascii="Times New Roman" w:eastAsia="Times New Roman" w:hAnsi="Times New Roman"/>
                <w:sz w:val="24"/>
                <w:szCs w:val="24"/>
                <w:lang w:val="nl-NL"/>
              </w:rPr>
            </w:pPr>
            <w:r>
              <w:rPr>
                <w:rFonts w:ascii="Times New Roman" w:eastAsia="Times New Roman" w:hAnsi="Times New Roman"/>
                <w:sz w:val="24"/>
                <w:szCs w:val="24"/>
                <w:lang w:val="nl-NL"/>
              </w:rPr>
              <w:t>Capital growth per Fund unit</w:t>
            </w:r>
          </w:p>
        </w:tc>
        <w:tc>
          <w:tcPr>
            <w:tcW w:w="1024" w:type="pct"/>
            <w:shd w:val="clear" w:color="auto" w:fill="auto"/>
          </w:tcPr>
          <w:p w14:paraId="162F542C" w14:textId="46BDCFCF" w:rsidR="00215036" w:rsidRPr="00315A8E" w:rsidRDefault="00215036" w:rsidP="00215036">
            <w:pPr>
              <w:tabs>
                <w:tab w:val="left" w:pos="540"/>
              </w:tabs>
              <w:spacing w:before="120" w:after="0"/>
              <w:jc w:val="center"/>
              <w:rPr>
                <w:rFonts w:ascii="Times New Roman" w:eastAsia="Times New Roman" w:hAnsi="Times New Roman"/>
                <w:sz w:val="24"/>
                <w:szCs w:val="24"/>
                <w:lang w:val="nl-NL"/>
              </w:rPr>
            </w:pPr>
            <w:r w:rsidRPr="00DD3136">
              <w:rPr>
                <w:rFonts w:ascii="Times New Roman" w:eastAsia="Times New Roman" w:hAnsi="Times New Roman"/>
                <w:sz w:val="24"/>
                <w:szCs w:val="24"/>
                <w:lang w:val="nl-NL"/>
              </w:rPr>
              <w:t>Not applicable</w:t>
            </w:r>
          </w:p>
        </w:tc>
        <w:tc>
          <w:tcPr>
            <w:tcW w:w="1024" w:type="pct"/>
            <w:shd w:val="clear" w:color="auto" w:fill="auto"/>
          </w:tcPr>
          <w:p w14:paraId="30BCD4DB" w14:textId="4937631A" w:rsidR="00215036" w:rsidRPr="00315A8E" w:rsidRDefault="00215036" w:rsidP="00215036">
            <w:pPr>
              <w:tabs>
                <w:tab w:val="left" w:pos="540"/>
              </w:tabs>
              <w:spacing w:before="120" w:after="0"/>
              <w:jc w:val="center"/>
              <w:rPr>
                <w:rFonts w:ascii="Times New Roman" w:eastAsia="Times New Roman" w:hAnsi="Times New Roman"/>
                <w:sz w:val="24"/>
                <w:szCs w:val="24"/>
                <w:lang w:val="nl-NL"/>
              </w:rPr>
            </w:pPr>
            <w:r w:rsidRPr="00DD3136">
              <w:rPr>
                <w:rFonts w:ascii="Times New Roman" w:eastAsia="Times New Roman" w:hAnsi="Times New Roman"/>
                <w:sz w:val="24"/>
                <w:szCs w:val="24"/>
                <w:lang w:val="nl-NL"/>
              </w:rPr>
              <w:t>Not applicable</w:t>
            </w:r>
          </w:p>
        </w:tc>
        <w:tc>
          <w:tcPr>
            <w:tcW w:w="1127" w:type="pct"/>
            <w:shd w:val="clear" w:color="auto" w:fill="auto"/>
          </w:tcPr>
          <w:p w14:paraId="573EAA3A" w14:textId="647528F6" w:rsidR="00215036" w:rsidRPr="00215036" w:rsidRDefault="00215036" w:rsidP="00215036">
            <w:pPr>
              <w:tabs>
                <w:tab w:val="left" w:pos="540"/>
              </w:tabs>
              <w:spacing w:before="120" w:after="0"/>
              <w:jc w:val="center"/>
              <w:rPr>
                <w:rFonts w:ascii="Times New Roman" w:eastAsia="Times New Roman" w:hAnsi="Times New Roman"/>
                <w:sz w:val="24"/>
                <w:szCs w:val="24"/>
                <w:lang w:val="nl-NL"/>
              </w:rPr>
            </w:pPr>
            <w:r w:rsidRPr="00DD3136">
              <w:rPr>
                <w:rFonts w:ascii="Times New Roman" w:eastAsia="Times New Roman" w:hAnsi="Times New Roman"/>
                <w:sz w:val="24"/>
                <w:szCs w:val="24"/>
                <w:lang w:val="nl-NL"/>
              </w:rPr>
              <w:t>Not applicable</w:t>
            </w:r>
          </w:p>
        </w:tc>
      </w:tr>
      <w:tr w:rsidR="00A35427" w:rsidRPr="00315A8E" w14:paraId="5AE0FE5D" w14:textId="77777777" w:rsidTr="005B768A">
        <w:tc>
          <w:tcPr>
            <w:tcW w:w="1825" w:type="pct"/>
            <w:shd w:val="clear" w:color="auto" w:fill="auto"/>
            <w:vAlign w:val="center"/>
          </w:tcPr>
          <w:p w14:paraId="3FAA0781" w14:textId="75CD1126"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Pr>
                <w:rFonts w:ascii="Times New Roman" w:eastAsia="Times New Roman" w:hAnsi="Times New Roman"/>
                <w:sz w:val="24"/>
                <w:szCs w:val="24"/>
                <w:lang w:val="nl-NL"/>
              </w:rPr>
              <w:t>Total growth per Fund unit</w:t>
            </w:r>
          </w:p>
        </w:tc>
        <w:tc>
          <w:tcPr>
            <w:tcW w:w="1024" w:type="pct"/>
            <w:shd w:val="clear" w:color="auto" w:fill="auto"/>
          </w:tcPr>
          <w:p w14:paraId="78EEBA99" w14:textId="3510F277"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15.87</w:t>
            </w:r>
          </w:p>
        </w:tc>
        <w:tc>
          <w:tcPr>
            <w:tcW w:w="1024" w:type="pct"/>
            <w:shd w:val="clear" w:color="auto" w:fill="auto"/>
          </w:tcPr>
          <w:p w14:paraId="79797E82" w14:textId="3B3BBAD6"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-1.99</w:t>
            </w:r>
          </w:p>
        </w:tc>
        <w:tc>
          <w:tcPr>
            <w:tcW w:w="1127" w:type="pct"/>
            <w:shd w:val="clear" w:color="auto" w:fill="auto"/>
          </w:tcPr>
          <w:p w14:paraId="44F7360A" w14:textId="0514D43D" w:rsidR="00A35427" w:rsidRPr="00215036"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60.96</w:t>
            </w:r>
          </w:p>
        </w:tc>
      </w:tr>
      <w:tr w:rsidR="00A35427" w:rsidRPr="00315A8E" w14:paraId="275BF76B" w14:textId="77777777" w:rsidTr="005B768A">
        <w:tc>
          <w:tcPr>
            <w:tcW w:w="1825" w:type="pct"/>
            <w:shd w:val="clear" w:color="auto" w:fill="auto"/>
            <w:vAlign w:val="center"/>
          </w:tcPr>
          <w:p w14:paraId="048B22BC" w14:textId="498B44C8" w:rsidR="00A35427" w:rsidRPr="00315A8E" w:rsidRDefault="00A35427" w:rsidP="00A35427">
            <w:pPr>
              <w:tabs>
                <w:tab w:val="left" w:pos="540"/>
              </w:tabs>
              <w:spacing w:before="120" w:after="0"/>
              <w:jc w:val="both"/>
              <w:rPr>
                <w:rFonts w:ascii="Times New Roman" w:eastAsia="Times New Roman" w:hAnsi="Times New Roman"/>
                <w:sz w:val="24"/>
                <w:szCs w:val="24"/>
                <w:lang w:val="nl-NL"/>
              </w:rPr>
            </w:pPr>
            <w:r>
              <w:rPr>
                <w:rFonts w:ascii="Times New Roman" w:eastAsia="Times New Roman" w:hAnsi="Times New Roman"/>
                <w:sz w:val="24"/>
                <w:szCs w:val="24"/>
                <w:lang w:val="nl-NL"/>
              </w:rPr>
              <w:t>Annual growth per Fund unit</w:t>
            </w:r>
          </w:p>
        </w:tc>
        <w:tc>
          <w:tcPr>
            <w:tcW w:w="1024" w:type="pct"/>
            <w:shd w:val="clear" w:color="auto" w:fill="auto"/>
          </w:tcPr>
          <w:p w14:paraId="68C03DD1" w14:textId="66328596"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15.87</w:t>
            </w:r>
          </w:p>
        </w:tc>
        <w:tc>
          <w:tcPr>
            <w:tcW w:w="1024" w:type="pct"/>
            <w:shd w:val="clear" w:color="auto" w:fill="auto"/>
          </w:tcPr>
          <w:p w14:paraId="32106B9E" w14:textId="7D7B7A6E"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-0.67</w:t>
            </w:r>
          </w:p>
        </w:tc>
        <w:tc>
          <w:tcPr>
            <w:tcW w:w="1127" w:type="pct"/>
            <w:shd w:val="clear" w:color="auto" w:fill="auto"/>
          </w:tcPr>
          <w:p w14:paraId="3AFD6D6E" w14:textId="0B1EC875"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8.26</w:t>
            </w:r>
          </w:p>
        </w:tc>
      </w:tr>
      <w:tr w:rsidR="00FF0271" w:rsidRPr="00315A8E" w14:paraId="331CA308" w14:textId="77777777" w:rsidTr="00664C68">
        <w:tc>
          <w:tcPr>
            <w:tcW w:w="1825" w:type="pct"/>
            <w:shd w:val="clear" w:color="auto" w:fill="auto"/>
            <w:vAlign w:val="center"/>
          </w:tcPr>
          <w:p w14:paraId="0E2F9146" w14:textId="209D255B" w:rsidR="00FF0271" w:rsidRPr="00315A8E" w:rsidRDefault="00FF0271" w:rsidP="00FF0271">
            <w:pPr>
              <w:tabs>
                <w:tab w:val="left" w:pos="540"/>
              </w:tabs>
              <w:spacing w:before="120" w:after="0"/>
              <w:jc w:val="both"/>
              <w:rPr>
                <w:rFonts w:ascii="Times New Roman" w:eastAsia="Times New Roman" w:hAnsi="Times New Roman"/>
                <w:sz w:val="24"/>
                <w:szCs w:val="24"/>
                <w:lang w:val="nl-NL"/>
              </w:rPr>
            </w:pPr>
            <w:r>
              <w:rPr>
                <w:rFonts w:ascii="Times New Roman" w:eastAsia="Times New Roman" w:hAnsi="Times New Roman"/>
                <w:sz w:val="24"/>
                <w:szCs w:val="24"/>
                <w:lang w:val="nl-NL"/>
              </w:rPr>
              <w:t>Growth of component portfolio (*)</w:t>
            </w:r>
          </w:p>
        </w:tc>
        <w:tc>
          <w:tcPr>
            <w:tcW w:w="1024" w:type="pct"/>
            <w:shd w:val="clear" w:color="auto" w:fill="auto"/>
            <w:vAlign w:val="center"/>
          </w:tcPr>
          <w:p w14:paraId="51E4F642" w14:textId="0FD8F883" w:rsidR="00FF0271" w:rsidRPr="00315A8E" w:rsidRDefault="00FF0271" w:rsidP="00FF0271">
            <w:pPr>
              <w:tabs>
                <w:tab w:val="left" w:pos="540"/>
              </w:tabs>
              <w:spacing w:before="120" w:after="0"/>
              <w:jc w:val="center"/>
              <w:rPr>
                <w:rFonts w:ascii="Times New Roman" w:eastAsia="Times New Roman" w:hAnsi="Times New Roman"/>
                <w:sz w:val="24"/>
                <w:szCs w:val="24"/>
                <w:lang w:val="nl-NL"/>
              </w:rPr>
            </w:pPr>
            <w:r w:rsidRPr="00FF0271">
              <w:rPr>
                <w:rFonts w:ascii="Times New Roman" w:eastAsia="Times New Roman" w:hAnsi="Times New Roman"/>
                <w:sz w:val="24"/>
                <w:szCs w:val="24"/>
                <w:lang w:val="nl-NL"/>
              </w:rPr>
              <w:t>Not applicable</w:t>
            </w:r>
          </w:p>
        </w:tc>
        <w:tc>
          <w:tcPr>
            <w:tcW w:w="1024" w:type="pct"/>
            <w:shd w:val="clear" w:color="auto" w:fill="auto"/>
            <w:vAlign w:val="center"/>
          </w:tcPr>
          <w:p w14:paraId="57C814EC" w14:textId="1E02E811" w:rsidR="00FF0271" w:rsidRPr="00315A8E" w:rsidRDefault="00FF0271" w:rsidP="00FF0271">
            <w:pPr>
              <w:tabs>
                <w:tab w:val="left" w:pos="540"/>
              </w:tabs>
              <w:spacing w:before="120" w:after="0"/>
              <w:jc w:val="center"/>
              <w:rPr>
                <w:rFonts w:ascii="Times New Roman" w:eastAsia="Times New Roman" w:hAnsi="Times New Roman"/>
                <w:sz w:val="24"/>
                <w:szCs w:val="24"/>
                <w:lang w:val="nl-NL"/>
              </w:rPr>
            </w:pPr>
            <w:r w:rsidRPr="00FF0271">
              <w:rPr>
                <w:rFonts w:ascii="Times New Roman" w:eastAsia="Times New Roman" w:hAnsi="Times New Roman"/>
                <w:sz w:val="24"/>
                <w:szCs w:val="24"/>
                <w:lang w:val="nl-NL"/>
              </w:rPr>
              <w:t>Not applicable</w:t>
            </w:r>
          </w:p>
        </w:tc>
        <w:tc>
          <w:tcPr>
            <w:tcW w:w="1127" w:type="pct"/>
            <w:shd w:val="clear" w:color="auto" w:fill="auto"/>
            <w:vAlign w:val="center"/>
          </w:tcPr>
          <w:p w14:paraId="31D77E7F" w14:textId="427456C5" w:rsidR="00FF0271" w:rsidRPr="00315A8E" w:rsidRDefault="00FF0271" w:rsidP="00FF0271">
            <w:pPr>
              <w:tabs>
                <w:tab w:val="left" w:pos="540"/>
              </w:tabs>
              <w:spacing w:before="120" w:after="0"/>
              <w:jc w:val="center"/>
              <w:rPr>
                <w:rFonts w:ascii="Times New Roman" w:eastAsia="Times New Roman" w:hAnsi="Times New Roman"/>
                <w:sz w:val="24"/>
                <w:szCs w:val="24"/>
                <w:lang w:val="nl-NL"/>
              </w:rPr>
            </w:pPr>
            <w:r w:rsidRPr="00FF0271">
              <w:rPr>
                <w:rFonts w:ascii="Times New Roman" w:eastAsia="Times New Roman" w:hAnsi="Times New Roman"/>
                <w:sz w:val="24"/>
                <w:szCs w:val="24"/>
                <w:lang w:val="nl-NL"/>
              </w:rPr>
              <w:t>Not applicable</w:t>
            </w:r>
          </w:p>
        </w:tc>
      </w:tr>
      <w:tr w:rsidR="00FF0271" w:rsidRPr="00315A8E" w14:paraId="24143984" w14:textId="77777777" w:rsidTr="00664C68">
        <w:tc>
          <w:tcPr>
            <w:tcW w:w="1825" w:type="pct"/>
            <w:shd w:val="clear" w:color="auto" w:fill="auto"/>
            <w:vAlign w:val="center"/>
          </w:tcPr>
          <w:p w14:paraId="6CA73C06" w14:textId="16DEE7CF" w:rsidR="00FF0271" w:rsidRPr="00315A8E" w:rsidRDefault="00FF0271" w:rsidP="00FF0271">
            <w:pPr>
              <w:tabs>
                <w:tab w:val="left" w:pos="540"/>
              </w:tabs>
              <w:spacing w:before="120" w:after="0"/>
              <w:jc w:val="both"/>
              <w:rPr>
                <w:rFonts w:ascii="Times New Roman" w:eastAsia="Times New Roman" w:hAnsi="Times New Roman"/>
                <w:sz w:val="24"/>
                <w:szCs w:val="24"/>
                <w:lang w:val="nl-NL"/>
              </w:rPr>
            </w:pPr>
            <w:r w:rsidRPr="00C5249C">
              <w:rPr>
                <w:rFonts w:ascii="Times New Roman" w:eastAsia="Times New Roman" w:hAnsi="Times New Roman"/>
                <w:sz w:val="24"/>
                <w:szCs w:val="24"/>
                <w:lang w:val="nl-NL"/>
              </w:rPr>
              <w:t>Price change per Fund unit (**)</w:t>
            </w:r>
          </w:p>
        </w:tc>
        <w:tc>
          <w:tcPr>
            <w:tcW w:w="1024" w:type="pct"/>
            <w:shd w:val="clear" w:color="auto" w:fill="auto"/>
            <w:vAlign w:val="center"/>
          </w:tcPr>
          <w:p w14:paraId="66B6B561" w14:textId="6BA23AFD" w:rsidR="00FF0271" w:rsidRPr="00315A8E" w:rsidRDefault="00FF0271" w:rsidP="00FF0271">
            <w:pPr>
              <w:tabs>
                <w:tab w:val="left" w:pos="540"/>
              </w:tabs>
              <w:spacing w:before="120" w:after="0"/>
              <w:jc w:val="center"/>
              <w:rPr>
                <w:rFonts w:ascii="Times New Roman" w:eastAsia="Times New Roman" w:hAnsi="Times New Roman"/>
                <w:sz w:val="24"/>
                <w:szCs w:val="24"/>
                <w:lang w:val="nl-NL"/>
              </w:rPr>
            </w:pPr>
            <w:r w:rsidRPr="00FF0271">
              <w:rPr>
                <w:rFonts w:ascii="Times New Roman" w:eastAsia="Times New Roman" w:hAnsi="Times New Roman"/>
                <w:sz w:val="24"/>
                <w:szCs w:val="24"/>
                <w:lang w:val="nl-NL"/>
              </w:rPr>
              <w:t>Not applicable</w:t>
            </w:r>
          </w:p>
        </w:tc>
        <w:tc>
          <w:tcPr>
            <w:tcW w:w="1024" w:type="pct"/>
            <w:shd w:val="clear" w:color="auto" w:fill="auto"/>
            <w:vAlign w:val="center"/>
          </w:tcPr>
          <w:p w14:paraId="0A59262E" w14:textId="0BE42E34" w:rsidR="00FF0271" w:rsidRPr="00315A8E" w:rsidRDefault="00FF0271" w:rsidP="00FF0271">
            <w:pPr>
              <w:tabs>
                <w:tab w:val="left" w:pos="540"/>
              </w:tabs>
              <w:spacing w:before="120" w:after="0"/>
              <w:jc w:val="center"/>
              <w:rPr>
                <w:rFonts w:ascii="Times New Roman" w:eastAsia="Times New Roman" w:hAnsi="Times New Roman"/>
                <w:sz w:val="24"/>
                <w:szCs w:val="24"/>
                <w:lang w:val="nl-NL"/>
              </w:rPr>
            </w:pPr>
            <w:r w:rsidRPr="00FF0271">
              <w:rPr>
                <w:rFonts w:ascii="Times New Roman" w:eastAsia="Times New Roman" w:hAnsi="Times New Roman"/>
                <w:sz w:val="24"/>
                <w:szCs w:val="24"/>
                <w:lang w:val="nl-NL"/>
              </w:rPr>
              <w:t>Not applicable</w:t>
            </w:r>
          </w:p>
        </w:tc>
        <w:tc>
          <w:tcPr>
            <w:tcW w:w="1127" w:type="pct"/>
            <w:shd w:val="clear" w:color="auto" w:fill="auto"/>
            <w:vAlign w:val="center"/>
          </w:tcPr>
          <w:p w14:paraId="191A6152" w14:textId="24E89CBB" w:rsidR="00FF0271" w:rsidRPr="00315A8E" w:rsidRDefault="00FF0271" w:rsidP="00FF0271">
            <w:pPr>
              <w:tabs>
                <w:tab w:val="left" w:pos="540"/>
              </w:tabs>
              <w:spacing w:before="120" w:after="0"/>
              <w:jc w:val="center"/>
              <w:rPr>
                <w:rFonts w:ascii="Times New Roman" w:eastAsia="Times New Roman" w:hAnsi="Times New Roman"/>
                <w:sz w:val="24"/>
                <w:szCs w:val="24"/>
                <w:lang w:val="nl-NL"/>
              </w:rPr>
            </w:pPr>
            <w:r w:rsidRPr="00FF0271">
              <w:rPr>
                <w:rFonts w:ascii="Times New Roman" w:eastAsia="Times New Roman" w:hAnsi="Times New Roman"/>
                <w:sz w:val="24"/>
                <w:szCs w:val="24"/>
                <w:lang w:val="nl-NL"/>
              </w:rPr>
              <w:t>Not applicable</w:t>
            </w:r>
          </w:p>
        </w:tc>
      </w:tr>
    </w:tbl>
    <w:p w14:paraId="5862996A" w14:textId="77777777" w:rsidR="00FF0271" w:rsidRPr="00C5249C" w:rsidRDefault="00FF0271" w:rsidP="00FF0271">
      <w:pPr>
        <w:shd w:val="clear" w:color="auto" w:fill="FFFFFF"/>
        <w:tabs>
          <w:tab w:val="left" w:pos="540"/>
        </w:tabs>
        <w:spacing w:before="120" w:after="120" w:line="240" w:lineRule="auto"/>
        <w:jc w:val="both"/>
        <w:rPr>
          <w:rFonts w:ascii="Times New Roman" w:hAnsi="Times New Roman"/>
          <w:sz w:val="24"/>
          <w:szCs w:val="24"/>
          <w:lang w:val="nl-NL"/>
        </w:rPr>
      </w:pPr>
      <w:r w:rsidRPr="00C5249C">
        <w:rPr>
          <w:rFonts w:ascii="Times New Roman" w:hAnsi="Times New Roman"/>
          <w:sz w:val="24"/>
          <w:szCs w:val="24"/>
          <w:lang w:val="nl-NL"/>
        </w:rPr>
        <w:t xml:space="preserve">(*) </w:t>
      </w:r>
      <w:r w:rsidRPr="00C5249C">
        <w:rPr>
          <w:rFonts w:ascii="Times New Roman" w:hAnsi="Times New Roman"/>
          <w:sz w:val="24"/>
          <w:szCs w:val="24"/>
          <w:lang w:val="nl-NL"/>
        </w:rPr>
        <w:tab/>
        <w:t>The Fund does not have component portfolio.</w:t>
      </w:r>
    </w:p>
    <w:p w14:paraId="0B1BB86A" w14:textId="58A2D9D9" w:rsidR="0052162A" w:rsidRPr="001A3F4D" w:rsidRDefault="00FF0271" w:rsidP="001A3F4D">
      <w:pPr>
        <w:shd w:val="clear" w:color="auto" w:fill="FFFFFF"/>
        <w:tabs>
          <w:tab w:val="left" w:pos="540"/>
        </w:tabs>
        <w:spacing w:before="120" w:after="120" w:line="240" w:lineRule="auto"/>
        <w:rPr>
          <w:noProof/>
        </w:rPr>
      </w:pPr>
      <w:r w:rsidRPr="00C5249C">
        <w:rPr>
          <w:rFonts w:ascii="Times New Roman" w:hAnsi="Times New Roman"/>
          <w:sz w:val="24"/>
          <w:szCs w:val="24"/>
          <w:lang w:val="nl-NL"/>
        </w:rPr>
        <w:lastRenderedPageBreak/>
        <w:t>(**)</w:t>
      </w:r>
      <w:r w:rsidRPr="00C5249C">
        <w:rPr>
          <w:rFonts w:ascii="Times New Roman" w:hAnsi="Times New Roman"/>
          <w:sz w:val="24"/>
          <w:szCs w:val="24"/>
          <w:lang w:val="nl-NL"/>
        </w:rPr>
        <w:tab/>
        <w:t>The Fund does not have market price.</w:t>
      </w:r>
    </w:p>
    <w:p w14:paraId="721FE861" w14:textId="65DB69BC" w:rsidR="00EA34DF" w:rsidRDefault="00A35427" w:rsidP="000B0C18">
      <w:pPr>
        <w:shd w:val="clear" w:color="auto" w:fill="FFFFFF"/>
        <w:tabs>
          <w:tab w:val="left" w:pos="540"/>
        </w:tabs>
        <w:spacing w:before="120"/>
        <w:jc w:val="both"/>
        <w:rPr>
          <w:rFonts w:ascii="Times New Roman" w:hAnsi="Times New Roman"/>
          <w:sz w:val="24"/>
          <w:szCs w:val="24"/>
          <w:highlight w:val="cyan"/>
          <w:lang w:val="nl-NL"/>
        </w:rPr>
      </w:pPr>
      <w:r>
        <w:rPr>
          <w:noProof/>
        </w:rPr>
        <w:drawing>
          <wp:inline distT="0" distB="0" distL="0" distR="0" wp14:anchorId="2D7434F4" wp14:editId="3697BD1F">
            <wp:extent cx="5943600" cy="4053840"/>
            <wp:effectExtent l="0" t="0" r="0" b="3810"/>
            <wp:docPr id="1353736608"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46A990AC" w:rsidR="00BE6F63" w:rsidRDefault="00BE6F63" w:rsidP="000B0C18">
      <w:pPr>
        <w:shd w:val="clear" w:color="auto" w:fill="FFFFFF"/>
        <w:tabs>
          <w:tab w:val="left" w:pos="540"/>
        </w:tabs>
        <w:spacing w:before="120"/>
        <w:jc w:val="both"/>
        <w:rPr>
          <w:rFonts w:ascii="Times New Roman" w:hAnsi="Times New Roman"/>
          <w:sz w:val="24"/>
          <w:szCs w:val="24"/>
          <w:lang w:val="nl-NL"/>
        </w:rPr>
      </w:pPr>
      <w:r w:rsidRPr="00F4662C">
        <w:rPr>
          <w:rFonts w:ascii="Times New Roman" w:hAnsi="Times New Roman"/>
          <w:sz w:val="24"/>
          <w:szCs w:val="24"/>
          <w:lang w:val="nl-NL"/>
        </w:rPr>
        <w:t xml:space="preserve">● </w:t>
      </w:r>
      <w:r w:rsidR="00FE5BD2" w:rsidRPr="00F4662C">
        <w:rPr>
          <w:rFonts w:ascii="Times New Roman" w:hAnsi="Times New Roman"/>
          <w:sz w:val="24"/>
          <w:szCs w:val="24"/>
          <w:lang w:val="nl-NL"/>
        </w:rPr>
        <w:t>Change in Net asset value</w:t>
      </w:r>
      <w:r w:rsidRPr="00F4662C">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35427" w:rsidRPr="00315A8E" w14:paraId="51028592" w14:textId="77777777" w:rsidTr="00A84632">
        <w:tc>
          <w:tcPr>
            <w:tcW w:w="1777" w:type="pct"/>
            <w:shd w:val="clear" w:color="auto" w:fill="auto"/>
          </w:tcPr>
          <w:p w14:paraId="47AB5736" w14:textId="70DB0EE1" w:rsidR="00A35427" w:rsidRPr="00315A8E" w:rsidRDefault="00A35427" w:rsidP="00A35427">
            <w:pPr>
              <w:tabs>
                <w:tab w:val="left" w:pos="540"/>
              </w:tabs>
              <w:spacing w:before="120" w:after="0"/>
              <w:jc w:val="center"/>
              <w:rPr>
                <w:rFonts w:ascii="Times New Roman" w:eastAsia="Times New Roman" w:hAnsi="Times New Roman"/>
                <w:sz w:val="24"/>
                <w:szCs w:val="24"/>
                <w:lang w:val="nl-NL"/>
              </w:rPr>
            </w:pPr>
            <w:r w:rsidRPr="00C5249C">
              <w:rPr>
                <w:rFonts w:ascii="Times New Roman" w:eastAsia="Times New Roman" w:hAnsi="Times New Roman"/>
                <w:b/>
                <w:bCs/>
                <w:sz w:val="24"/>
                <w:szCs w:val="24"/>
                <w:lang w:val="nl-NL"/>
              </w:rPr>
              <w:t>Item</w:t>
            </w:r>
          </w:p>
        </w:tc>
        <w:tc>
          <w:tcPr>
            <w:tcW w:w="1015" w:type="pct"/>
            <w:shd w:val="clear" w:color="auto" w:fill="auto"/>
          </w:tcPr>
          <w:p w14:paraId="133D99A6" w14:textId="743FF4DB" w:rsidR="00A35427" w:rsidRPr="00E30920" w:rsidRDefault="00A35427" w:rsidP="00A35427">
            <w:pPr>
              <w:tabs>
                <w:tab w:val="left" w:pos="540"/>
              </w:tabs>
              <w:spacing w:before="120" w:after="0"/>
              <w:jc w:val="center"/>
              <w:rPr>
                <w:rFonts w:ascii="Times New Roman" w:eastAsia="Times New Roman" w:hAnsi="Times New Roman"/>
                <w:b/>
                <w:bCs/>
                <w:sz w:val="24"/>
                <w:szCs w:val="24"/>
                <w:lang w:val="nl-NL"/>
              </w:rPr>
            </w:pPr>
            <w:r w:rsidRPr="00A35427">
              <w:rPr>
                <w:rFonts w:ascii="Times New Roman" w:eastAsia="Times New Roman" w:hAnsi="Times New Roman"/>
                <w:b/>
                <w:bCs/>
                <w:sz w:val="24"/>
                <w:szCs w:val="24"/>
                <w:lang w:val="nl-NL"/>
              </w:rPr>
              <w:t>31/12/2024</w:t>
            </w:r>
          </w:p>
        </w:tc>
        <w:tc>
          <w:tcPr>
            <w:tcW w:w="1019" w:type="pct"/>
            <w:shd w:val="clear" w:color="auto" w:fill="auto"/>
          </w:tcPr>
          <w:p w14:paraId="3D3C1F6A" w14:textId="5115ACD3" w:rsidR="00A35427" w:rsidRPr="00E30920" w:rsidRDefault="00A35427" w:rsidP="00A35427">
            <w:pPr>
              <w:tabs>
                <w:tab w:val="left" w:pos="540"/>
              </w:tabs>
              <w:spacing w:before="120" w:after="0"/>
              <w:jc w:val="center"/>
              <w:rPr>
                <w:rFonts w:ascii="Times New Roman" w:eastAsia="Times New Roman" w:hAnsi="Times New Roman"/>
                <w:b/>
                <w:bCs/>
                <w:sz w:val="24"/>
                <w:szCs w:val="24"/>
                <w:lang w:val="nl-NL"/>
              </w:rPr>
            </w:pPr>
            <w:r w:rsidRPr="00A35427">
              <w:rPr>
                <w:rFonts w:ascii="Times New Roman" w:eastAsia="Times New Roman" w:hAnsi="Times New Roman"/>
                <w:b/>
                <w:bCs/>
                <w:sz w:val="24"/>
                <w:szCs w:val="24"/>
                <w:lang w:val="nl-NL"/>
              </w:rPr>
              <w:t>31/12/2023</w:t>
            </w:r>
          </w:p>
        </w:tc>
        <w:tc>
          <w:tcPr>
            <w:tcW w:w="1189" w:type="pct"/>
            <w:shd w:val="clear" w:color="auto" w:fill="auto"/>
          </w:tcPr>
          <w:p w14:paraId="468E027E" w14:textId="5A41A279" w:rsidR="00A35427" w:rsidRPr="00FF0271" w:rsidRDefault="00A35427" w:rsidP="00A35427">
            <w:pPr>
              <w:tabs>
                <w:tab w:val="left" w:pos="540"/>
              </w:tabs>
              <w:spacing w:before="120" w:after="0"/>
              <w:jc w:val="center"/>
              <w:rPr>
                <w:rFonts w:ascii="Times New Roman" w:eastAsia="Times New Roman" w:hAnsi="Times New Roman"/>
                <w:b/>
                <w:bCs/>
                <w:sz w:val="24"/>
                <w:szCs w:val="24"/>
                <w:lang w:val="nl-NL"/>
              </w:rPr>
            </w:pPr>
            <w:r w:rsidRPr="00FF0271">
              <w:rPr>
                <w:rFonts w:ascii="Times New Roman" w:eastAsia="Times New Roman" w:hAnsi="Times New Roman"/>
                <w:b/>
                <w:bCs/>
                <w:sz w:val="24"/>
                <w:szCs w:val="24"/>
                <w:lang w:val="nl-NL"/>
              </w:rPr>
              <w:t>Change (%)</w:t>
            </w:r>
          </w:p>
        </w:tc>
      </w:tr>
      <w:tr w:rsidR="00A35427" w:rsidRPr="00315A8E" w14:paraId="20DB74E9" w14:textId="77777777" w:rsidTr="00C92A59">
        <w:tc>
          <w:tcPr>
            <w:tcW w:w="1777" w:type="pct"/>
            <w:shd w:val="clear" w:color="auto" w:fill="auto"/>
          </w:tcPr>
          <w:p w14:paraId="3374F58E" w14:textId="68A94932" w:rsidR="00A35427" w:rsidRPr="00315A8E" w:rsidRDefault="00A35427" w:rsidP="00A35427">
            <w:pPr>
              <w:tabs>
                <w:tab w:val="left" w:pos="540"/>
              </w:tabs>
              <w:spacing w:before="120" w:after="0"/>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Net asset value (NAV) </w:t>
            </w:r>
          </w:p>
        </w:tc>
        <w:tc>
          <w:tcPr>
            <w:tcW w:w="1015" w:type="pct"/>
            <w:shd w:val="clear" w:color="auto" w:fill="auto"/>
          </w:tcPr>
          <w:p w14:paraId="28FD06C7" w14:textId="4F57DB75" w:rsidR="00A35427" w:rsidRPr="00315A8E" w:rsidRDefault="00A35427" w:rsidP="00A35427">
            <w:pPr>
              <w:tabs>
                <w:tab w:val="left" w:pos="540"/>
              </w:tabs>
              <w:spacing w:before="120" w:after="0"/>
              <w:jc w:val="right"/>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134,335,029,090 </w:t>
            </w:r>
          </w:p>
        </w:tc>
        <w:tc>
          <w:tcPr>
            <w:tcW w:w="1019" w:type="pct"/>
            <w:shd w:val="clear" w:color="auto" w:fill="auto"/>
          </w:tcPr>
          <w:p w14:paraId="0DF9D0FE" w14:textId="065C4301" w:rsidR="00A35427" w:rsidRPr="00315A8E" w:rsidRDefault="00A35427" w:rsidP="00A35427">
            <w:pPr>
              <w:tabs>
                <w:tab w:val="left" w:pos="540"/>
              </w:tabs>
              <w:spacing w:before="120" w:after="0"/>
              <w:jc w:val="right"/>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161,351,154,608 </w:t>
            </w:r>
          </w:p>
        </w:tc>
        <w:tc>
          <w:tcPr>
            <w:tcW w:w="1189" w:type="pct"/>
            <w:shd w:val="clear" w:color="auto" w:fill="auto"/>
          </w:tcPr>
          <w:p w14:paraId="43D36BCD" w14:textId="756A5D63" w:rsidR="00A35427" w:rsidRPr="00315A8E" w:rsidRDefault="00A35427" w:rsidP="00A35427">
            <w:pPr>
              <w:tabs>
                <w:tab w:val="left" w:pos="540"/>
              </w:tabs>
              <w:spacing w:before="120" w:after="0"/>
              <w:jc w:val="right"/>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-16.74</w:t>
            </w:r>
          </w:p>
        </w:tc>
      </w:tr>
      <w:tr w:rsidR="00A35427" w:rsidRPr="00315A8E" w14:paraId="57472793" w14:textId="77777777" w:rsidTr="00C92A59">
        <w:tc>
          <w:tcPr>
            <w:tcW w:w="1777" w:type="pct"/>
            <w:shd w:val="clear" w:color="auto" w:fill="auto"/>
          </w:tcPr>
          <w:p w14:paraId="1E20D587" w14:textId="163ED64E" w:rsidR="00A35427" w:rsidRPr="00315A8E" w:rsidRDefault="00A35427" w:rsidP="00A35427">
            <w:pPr>
              <w:tabs>
                <w:tab w:val="left" w:pos="540"/>
              </w:tabs>
              <w:spacing w:before="120" w:after="0"/>
              <w:rPr>
                <w:rFonts w:ascii="Times New Roman" w:eastAsia="Times New Roman" w:hAnsi="Times New Roman"/>
                <w:sz w:val="24"/>
                <w:szCs w:val="24"/>
                <w:lang w:val="nl-NL"/>
              </w:rPr>
            </w:pPr>
            <w:r>
              <w:rPr>
                <w:rFonts w:ascii="Times New Roman" w:eastAsia="Times New Roman" w:hAnsi="Times New Roman"/>
                <w:sz w:val="24"/>
                <w:szCs w:val="24"/>
                <w:lang w:val="nl-NL"/>
              </w:rPr>
              <w:t>Net asset value (NAV) per Fund unit</w:t>
            </w:r>
          </w:p>
        </w:tc>
        <w:tc>
          <w:tcPr>
            <w:tcW w:w="1015" w:type="pct"/>
            <w:shd w:val="clear" w:color="auto" w:fill="auto"/>
          </w:tcPr>
          <w:p w14:paraId="6CAC6F70" w14:textId="54FD8921" w:rsidR="00A35427" w:rsidRPr="00315A8E" w:rsidRDefault="00A35427" w:rsidP="00A35427">
            <w:pPr>
              <w:tabs>
                <w:tab w:val="left" w:pos="540"/>
              </w:tabs>
              <w:spacing w:before="120" w:after="0"/>
              <w:jc w:val="right"/>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16,095.80   </w:t>
            </w:r>
          </w:p>
        </w:tc>
        <w:tc>
          <w:tcPr>
            <w:tcW w:w="1019" w:type="pct"/>
            <w:shd w:val="clear" w:color="auto" w:fill="auto"/>
          </w:tcPr>
          <w:p w14:paraId="2E3BFBE6" w14:textId="33995698" w:rsidR="00A35427" w:rsidRPr="00315A8E" w:rsidRDefault="00A35427" w:rsidP="00A35427">
            <w:pPr>
              <w:tabs>
                <w:tab w:val="left" w:pos="540"/>
              </w:tabs>
              <w:spacing w:before="120" w:after="0"/>
              <w:jc w:val="right"/>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 xml:space="preserve"> 13,891.27   </w:t>
            </w:r>
          </w:p>
        </w:tc>
        <w:tc>
          <w:tcPr>
            <w:tcW w:w="1189" w:type="pct"/>
            <w:shd w:val="clear" w:color="auto" w:fill="auto"/>
          </w:tcPr>
          <w:p w14:paraId="4E3B62B9" w14:textId="0C8D93C8" w:rsidR="00A35427" w:rsidRPr="00315A8E" w:rsidRDefault="00A35427" w:rsidP="00A35427">
            <w:pPr>
              <w:tabs>
                <w:tab w:val="left" w:pos="540"/>
              </w:tabs>
              <w:spacing w:before="120" w:after="0"/>
              <w:jc w:val="right"/>
              <w:rPr>
                <w:rFonts w:ascii="Times New Roman" w:eastAsia="Times New Roman" w:hAnsi="Times New Roman"/>
                <w:sz w:val="24"/>
                <w:szCs w:val="24"/>
                <w:lang w:val="nl-NL"/>
              </w:rPr>
            </w:pPr>
            <w:r w:rsidRPr="00A35427">
              <w:rPr>
                <w:rFonts w:ascii="Times New Roman" w:eastAsia="Times New Roman" w:hAnsi="Times New Roman"/>
                <w:sz w:val="24"/>
                <w:szCs w:val="24"/>
                <w:lang w:val="nl-NL"/>
              </w:rPr>
              <w:t>15.87</w:t>
            </w:r>
          </w:p>
        </w:tc>
      </w:tr>
    </w:tbl>
    <w:p w14:paraId="32330169" w14:textId="264D27BD" w:rsidR="00315A8E" w:rsidRPr="00315A8E" w:rsidRDefault="00BE6F63" w:rsidP="00FF0271">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 xml:space="preserve">4.2. </w:t>
      </w:r>
      <w:r w:rsidR="00FF0271" w:rsidRPr="00893D4C">
        <w:rPr>
          <w:rFonts w:ascii="Times New Roman" w:hAnsi="Times New Roman"/>
          <w:b/>
          <w:sz w:val="24"/>
          <w:szCs w:val="24"/>
          <w:lang w:val="nl-NL"/>
        </w:rPr>
        <w:t>Investors analysis as at reporting date:</w:t>
      </w:r>
    </w:p>
    <w:tbl>
      <w:tblPr>
        <w:tblW w:w="0" w:type="auto"/>
        <w:tblLook w:val="04A0" w:firstRow="1" w:lastRow="0" w:firstColumn="1" w:lastColumn="0" w:noHBand="0" w:noVBand="1"/>
      </w:tblPr>
      <w:tblGrid>
        <w:gridCol w:w="2780"/>
        <w:gridCol w:w="1887"/>
        <w:gridCol w:w="2973"/>
        <w:gridCol w:w="1700"/>
      </w:tblGrid>
      <w:tr w:rsidR="00FF0271" w:rsidRPr="00315A8E" w14:paraId="3BCC7EEC" w14:textId="77777777" w:rsidTr="00664C68">
        <w:trPr>
          <w:trHeight w:val="525"/>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20499" w14:textId="39FDAC71" w:rsidR="00FF0271" w:rsidRPr="00315A8E" w:rsidRDefault="00FF0271" w:rsidP="00FF0271">
            <w:pPr>
              <w:spacing w:after="0"/>
              <w:jc w:val="center"/>
              <w:rPr>
                <w:rFonts w:ascii="Times New Roman" w:eastAsia="Times New Roman" w:hAnsi="Times New Roman"/>
                <w:b/>
                <w:color w:val="000000"/>
                <w:sz w:val="24"/>
                <w:szCs w:val="24"/>
              </w:rPr>
            </w:pPr>
            <w:r w:rsidRPr="009B356D">
              <w:rPr>
                <w:rFonts w:ascii="Times New Roman" w:eastAsia="Times New Roman" w:hAnsi="Times New Roman"/>
                <w:b/>
                <w:color w:val="000000"/>
                <w:sz w:val="24"/>
                <w:szCs w:val="24"/>
              </w:rPr>
              <w:t>Number of units</w:t>
            </w:r>
          </w:p>
        </w:tc>
        <w:tc>
          <w:tcPr>
            <w:tcW w:w="1887" w:type="dxa"/>
            <w:tcBorders>
              <w:top w:val="single" w:sz="8" w:space="0" w:color="auto"/>
              <w:left w:val="nil"/>
              <w:bottom w:val="single" w:sz="8" w:space="0" w:color="auto"/>
              <w:right w:val="single" w:sz="8" w:space="0" w:color="auto"/>
            </w:tcBorders>
            <w:shd w:val="clear" w:color="auto" w:fill="auto"/>
            <w:vAlign w:val="center"/>
            <w:hideMark/>
          </w:tcPr>
          <w:p w14:paraId="034EE239" w14:textId="77777777" w:rsidR="00FF0271" w:rsidRPr="00C5249C" w:rsidRDefault="00FF0271" w:rsidP="00FF0271">
            <w:pPr>
              <w:spacing w:after="120" w:line="240" w:lineRule="auto"/>
              <w:jc w:val="center"/>
              <w:rPr>
                <w:rFonts w:ascii="Times New Roman" w:eastAsia="Times New Roman" w:hAnsi="Times New Roman"/>
                <w:b/>
                <w:color w:val="000000"/>
                <w:sz w:val="24"/>
                <w:szCs w:val="24"/>
              </w:rPr>
            </w:pPr>
            <w:r w:rsidRPr="00C5249C">
              <w:rPr>
                <w:rFonts w:ascii="Times New Roman" w:eastAsia="Times New Roman" w:hAnsi="Times New Roman"/>
                <w:b/>
                <w:color w:val="000000"/>
                <w:sz w:val="24"/>
                <w:szCs w:val="24"/>
              </w:rPr>
              <w:t xml:space="preserve">Number of </w:t>
            </w:r>
          </w:p>
          <w:p w14:paraId="08F715D0" w14:textId="04494CDF" w:rsidR="00FF0271" w:rsidRPr="00315A8E" w:rsidRDefault="00FF0271" w:rsidP="00FF0271">
            <w:pPr>
              <w:spacing w:after="0"/>
              <w:jc w:val="center"/>
              <w:rPr>
                <w:rFonts w:ascii="Times New Roman" w:eastAsia="Times New Roman" w:hAnsi="Times New Roman"/>
                <w:b/>
                <w:color w:val="000000"/>
                <w:sz w:val="24"/>
                <w:szCs w:val="24"/>
              </w:rPr>
            </w:pPr>
            <w:r w:rsidRPr="00C5249C">
              <w:rPr>
                <w:rFonts w:ascii="Times New Roman" w:eastAsia="Times New Roman" w:hAnsi="Times New Roman"/>
                <w:b/>
                <w:color w:val="000000"/>
                <w:sz w:val="24"/>
                <w:szCs w:val="24"/>
              </w:rPr>
              <w:t>unitholders</w:t>
            </w:r>
          </w:p>
        </w:tc>
        <w:tc>
          <w:tcPr>
            <w:tcW w:w="2973" w:type="dxa"/>
            <w:tcBorders>
              <w:top w:val="single" w:sz="8" w:space="0" w:color="auto"/>
              <w:left w:val="nil"/>
              <w:bottom w:val="single" w:sz="8" w:space="0" w:color="auto"/>
              <w:right w:val="single" w:sz="8" w:space="0" w:color="auto"/>
            </w:tcBorders>
            <w:shd w:val="clear" w:color="auto" w:fill="auto"/>
            <w:vAlign w:val="center"/>
            <w:hideMark/>
          </w:tcPr>
          <w:p w14:paraId="0A0C70D5" w14:textId="040E1E49" w:rsidR="00FF0271" w:rsidRPr="00315A8E" w:rsidRDefault="00FF0271" w:rsidP="00FF0271">
            <w:pP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Number of Fund units </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1A514B8F" w14:textId="6FD95C8C" w:rsidR="00FF0271" w:rsidRPr="00315A8E" w:rsidRDefault="00FF0271" w:rsidP="00FF0271">
            <w:pPr>
              <w:spacing w:after="0"/>
              <w:jc w:val="center"/>
              <w:rPr>
                <w:rFonts w:ascii="Times New Roman" w:eastAsia="Times New Roman" w:hAnsi="Times New Roman"/>
                <w:b/>
                <w:color w:val="000000"/>
                <w:sz w:val="24"/>
                <w:szCs w:val="24"/>
              </w:rPr>
            </w:pPr>
            <w:r w:rsidRPr="009B356D">
              <w:rPr>
                <w:rFonts w:ascii="Times New Roman" w:eastAsia="Times New Roman" w:hAnsi="Times New Roman"/>
                <w:b/>
                <w:color w:val="000000"/>
                <w:sz w:val="24"/>
                <w:szCs w:val="24"/>
              </w:rPr>
              <w:t>Holding rate (%)</w:t>
            </w:r>
          </w:p>
        </w:tc>
      </w:tr>
      <w:tr w:rsidR="00A35427" w:rsidRPr="00315A8E" w14:paraId="5AC8833F" w14:textId="77777777" w:rsidTr="009B25B5">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3BF8D42" w14:textId="2F7C0631" w:rsidR="00A35427" w:rsidRPr="00315A8E" w:rsidRDefault="00A35427" w:rsidP="00A3542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Under</w:t>
            </w:r>
            <w:r w:rsidRPr="00315A8E">
              <w:rPr>
                <w:rFonts w:ascii="Times New Roman" w:eastAsia="Times New Roman" w:hAnsi="Times New Roman"/>
                <w:color w:val="000000"/>
                <w:sz w:val="24"/>
                <w:szCs w:val="24"/>
              </w:rPr>
              <w:t xml:space="preserve"> 5</w:t>
            </w:r>
            <w:r>
              <w:rPr>
                <w:rFonts w:ascii="Times New Roman" w:eastAsia="Times New Roman" w:hAnsi="Times New Roman"/>
                <w:color w:val="000000"/>
                <w:sz w:val="24"/>
                <w:szCs w:val="24"/>
              </w:rPr>
              <w:t>,</w:t>
            </w:r>
            <w:r w:rsidRPr="00315A8E">
              <w:rPr>
                <w:rFonts w:ascii="Times New Roman" w:eastAsia="Times New Roman" w:hAnsi="Times New Roman"/>
                <w:color w:val="000000"/>
                <w:sz w:val="24"/>
                <w:szCs w:val="24"/>
              </w:rPr>
              <w:t>000</w:t>
            </w:r>
          </w:p>
        </w:tc>
        <w:tc>
          <w:tcPr>
            <w:tcW w:w="1887" w:type="dxa"/>
            <w:tcBorders>
              <w:top w:val="nil"/>
              <w:left w:val="nil"/>
              <w:bottom w:val="single" w:sz="8" w:space="0" w:color="auto"/>
              <w:right w:val="single" w:sz="8" w:space="0" w:color="auto"/>
            </w:tcBorders>
            <w:shd w:val="clear" w:color="auto" w:fill="auto"/>
          </w:tcPr>
          <w:p w14:paraId="569AE133" w14:textId="7C6508E1"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2</w:t>
            </w:r>
            <w:r>
              <w:rPr>
                <w:rFonts w:ascii="Times New Roman" w:eastAsia="Times New Roman" w:hAnsi="Times New Roman"/>
                <w:color w:val="000000"/>
                <w:sz w:val="24"/>
                <w:szCs w:val="24"/>
              </w:rPr>
              <w:t>,</w:t>
            </w:r>
            <w:r w:rsidRPr="00A35427">
              <w:rPr>
                <w:rFonts w:ascii="Times New Roman" w:eastAsia="Times New Roman" w:hAnsi="Times New Roman"/>
                <w:color w:val="000000"/>
                <w:sz w:val="24"/>
                <w:szCs w:val="24"/>
              </w:rPr>
              <w:t>462</w:t>
            </w:r>
          </w:p>
        </w:tc>
        <w:tc>
          <w:tcPr>
            <w:tcW w:w="2973" w:type="dxa"/>
            <w:tcBorders>
              <w:top w:val="nil"/>
              <w:left w:val="nil"/>
              <w:bottom w:val="single" w:sz="8" w:space="0" w:color="auto"/>
              <w:right w:val="single" w:sz="8" w:space="0" w:color="auto"/>
            </w:tcBorders>
            <w:shd w:val="clear" w:color="auto" w:fill="auto"/>
          </w:tcPr>
          <w:p w14:paraId="0EBE36E9" w14:textId="6C2F7B22"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 xml:space="preserve"> 1,380,208.88   </w:t>
            </w:r>
          </w:p>
        </w:tc>
        <w:tc>
          <w:tcPr>
            <w:tcW w:w="1700" w:type="dxa"/>
            <w:tcBorders>
              <w:top w:val="nil"/>
              <w:left w:val="nil"/>
              <w:bottom w:val="single" w:sz="8" w:space="0" w:color="auto"/>
              <w:right w:val="single" w:sz="8" w:space="0" w:color="auto"/>
            </w:tcBorders>
            <w:shd w:val="clear" w:color="auto" w:fill="auto"/>
          </w:tcPr>
          <w:p w14:paraId="324D4E7B" w14:textId="4A88BD8E"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16.54</w:t>
            </w:r>
          </w:p>
        </w:tc>
      </w:tr>
      <w:tr w:rsidR="00A35427" w:rsidRPr="00315A8E" w14:paraId="112DFD1E" w14:textId="77777777" w:rsidTr="009B25B5">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595FFB6D" w14:textId="5AB09700" w:rsidR="00A35427" w:rsidRPr="00315A8E" w:rsidRDefault="00A35427" w:rsidP="00A35427">
            <w:pPr>
              <w:spacing w:after="0"/>
              <w:rPr>
                <w:rFonts w:ascii="Times New Roman" w:eastAsia="Times New Roman" w:hAnsi="Times New Roman"/>
                <w:color w:val="000000"/>
                <w:sz w:val="24"/>
                <w:szCs w:val="24"/>
              </w:rPr>
            </w:pPr>
            <w:r w:rsidRPr="00FF0271">
              <w:rPr>
                <w:rFonts w:ascii="Times New Roman" w:eastAsia="Times New Roman" w:hAnsi="Times New Roman"/>
                <w:color w:val="000000"/>
                <w:sz w:val="24"/>
                <w:szCs w:val="24"/>
              </w:rPr>
              <w:t>From 5,000 to lower than 10,000</w:t>
            </w:r>
          </w:p>
        </w:tc>
        <w:tc>
          <w:tcPr>
            <w:tcW w:w="1887" w:type="dxa"/>
            <w:tcBorders>
              <w:top w:val="nil"/>
              <w:left w:val="nil"/>
              <w:bottom w:val="single" w:sz="8" w:space="0" w:color="auto"/>
              <w:right w:val="single" w:sz="8" w:space="0" w:color="auto"/>
            </w:tcBorders>
            <w:shd w:val="clear" w:color="auto" w:fill="auto"/>
          </w:tcPr>
          <w:p w14:paraId="523D61E2" w14:textId="5222D645"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121</w:t>
            </w:r>
          </w:p>
        </w:tc>
        <w:tc>
          <w:tcPr>
            <w:tcW w:w="2973" w:type="dxa"/>
            <w:tcBorders>
              <w:top w:val="nil"/>
              <w:left w:val="nil"/>
              <w:bottom w:val="single" w:sz="8" w:space="0" w:color="auto"/>
              <w:right w:val="single" w:sz="8" w:space="0" w:color="auto"/>
            </w:tcBorders>
            <w:shd w:val="clear" w:color="auto" w:fill="auto"/>
          </w:tcPr>
          <w:p w14:paraId="17E0FA6A" w14:textId="4192DD48"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 xml:space="preserve"> 857,155.41   </w:t>
            </w:r>
          </w:p>
        </w:tc>
        <w:tc>
          <w:tcPr>
            <w:tcW w:w="1700" w:type="dxa"/>
            <w:tcBorders>
              <w:top w:val="nil"/>
              <w:left w:val="nil"/>
              <w:bottom w:val="single" w:sz="8" w:space="0" w:color="auto"/>
              <w:right w:val="single" w:sz="8" w:space="0" w:color="auto"/>
            </w:tcBorders>
            <w:shd w:val="clear" w:color="auto" w:fill="auto"/>
          </w:tcPr>
          <w:p w14:paraId="2CF369C9" w14:textId="7ADCC2C7"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10.27</w:t>
            </w:r>
          </w:p>
        </w:tc>
      </w:tr>
      <w:tr w:rsidR="00A35427" w:rsidRPr="00315A8E" w14:paraId="33F2F3B6" w14:textId="77777777" w:rsidTr="009B25B5">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C542B1C" w14:textId="02ED8603" w:rsidR="00A35427" w:rsidRPr="00315A8E" w:rsidRDefault="00A35427" w:rsidP="00A35427">
            <w:pPr>
              <w:spacing w:after="0"/>
              <w:rPr>
                <w:rFonts w:ascii="Times New Roman" w:eastAsia="Times New Roman" w:hAnsi="Times New Roman"/>
                <w:color w:val="000000"/>
                <w:sz w:val="24"/>
                <w:szCs w:val="24"/>
              </w:rPr>
            </w:pPr>
            <w:r w:rsidRPr="00FF0271">
              <w:rPr>
                <w:rFonts w:ascii="Times New Roman" w:eastAsia="Times New Roman" w:hAnsi="Times New Roman"/>
                <w:color w:val="000000"/>
                <w:sz w:val="24"/>
                <w:szCs w:val="24"/>
              </w:rPr>
              <w:t>From 10,000 to lower than 50,000</w:t>
            </w:r>
          </w:p>
        </w:tc>
        <w:tc>
          <w:tcPr>
            <w:tcW w:w="1887" w:type="dxa"/>
            <w:tcBorders>
              <w:top w:val="nil"/>
              <w:left w:val="nil"/>
              <w:bottom w:val="single" w:sz="8" w:space="0" w:color="auto"/>
              <w:right w:val="single" w:sz="8" w:space="0" w:color="auto"/>
            </w:tcBorders>
            <w:shd w:val="clear" w:color="auto" w:fill="auto"/>
          </w:tcPr>
          <w:p w14:paraId="3406A864" w14:textId="3B2E7C53"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83</w:t>
            </w:r>
          </w:p>
        </w:tc>
        <w:tc>
          <w:tcPr>
            <w:tcW w:w="2973" w:type="dxa"/>
            <w:tcBorders>
              <w:top w:val="nil"/>
              <w:left w:val="nil"/>
              <w:bottom w:val="single" w:sz="8" w:space="0" w:color="auto"/>
              <w:right w:val="single" w:sz="8" w:space="0" w:color="auto"/>
            </w:tcBorders>
            <w:shd w:val="clear" w:color="auto" w:fill="auto"/>
          </w:tcPr>
          <w:p w14:paraId="7E76C849" w14:textId="7F32DABD"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 xml:space="preserve"> 1,629,188.30   </w:t>
            </w:r>
          </w:p>
        </w:tc>
        <w:tc>
          <w:tcPr>
            <w:tcW w:w="1700" w:type="dxa"/>
            <w:tcBorders>
              <w:top w:val="nil"/>
              <w:left w:val="nil"/>
              <w:bottom w:val="single" w:sz="8" w:space="0" w:color="auto"/>
              <w:right w:val="single" w:sz="8" w:space="0" w:color="auto"/>
            </w:tcBorders>
            <w:shd w:val="clear" w:color="auto" w:fill="auto"/>
          </w:tcPr>
          <w:p w14:paraId="2DEE8F0F" w14:textId="02295677"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19.52</w:t>
            </w:r>
          </w:p>
        </w:tc>
      </w:tr>
      <w:tr w:rsidR="00A35427" w:rsidRPr="00315A8E" w14:paraId="53AAF433" w14:textId="77777777" w:rsidTr="009B25B5">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0A7C6EFA" w14:textId="09AF59F1" w:rsidR="00A35427" w:rsidRPr="00315A8E" w:rsidRDefault="00A35427" w:rsidP="00A35427">
            <w:pPr>
              <w:spacing w:after="0"/>
              <w:rPr>
                <w:rFonts w:ascii="Times New Roman" w:eastAsia="Times New Roman" w:hAnsi="Times New Roman"/>
                <w:color w:val="000000"/>
                <w:sz w:val="24"/>
                <w:szCs w:val="24"/>
              </w:rPr>
            </w:pPr>
            <w:r w:rsidRPr="00FF0271">
              <w:rPr>
                <w:rFonts w:ascii="Times New Roman" w:eastAsia="Times New Roman" w:hAnsi="Times New Roman"/>
                <w:color w:val="000000"/>
                <w:sz w:val="24"/>
                <w:szCs w:val="24"/>
              </w:rPr>
              <w:t>From 50,000 to lower than 500,000</w:t>
            </w:r>
          </w:p>
        </w:tc>
        <w:tc>
          <w:tcPr>
            <w:tcW w:w="1887" w:type="dxa"/>
            <w:tcBorders>
              <w:top w:val="nil"/>
              <w:left w:val="nil"/>
              <w:bottom w:val="single" w:sz="8" w:space="0" w:color="auto"/>
              <w:right w:val="single" w:sz="8" w:space="0" w:color="auto"/>
            </w:tcBorders>
            <w:shd w:val="clear" w:color="auto" w:fill="auto"/>
          </w:tcPr>
          <w:p w14:paraId="62BA28D6" w14:textId="022C1F6D"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8</w:t>
            </w:r>
          </w:p>
        </w:tc>
        <w:tc>
          <w:tcPr>
            <w:tcW w:w="2973" w:type="dxa"/>
            <w:tcBorders>
              <w:top w:val="nil"/>
              <w:left w:val="nil"/>
              <w:bottom w:val="single" w:sz="8" w:space="0" w:color="auto"/>
              <w:right w:val="single" w:sz="8" w:space="0" w:color="auto"/>
            </w:tcBorders>
            <w:shd w:val="clear" w:color="auto" w:fill="auto"/>
          </w:tcPr>
          <w:p w14:paraId="1ABD868A" w14:textId="2AD59976"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 xml:space="preserve"> 944,608.57   </w:t>
            </w:r>
          </w:p>
        </w:tc>
        <w:tc>
          <w:tcPr>
            <w:tcW w:w="1700" w:type="dxa"/>
            <w:tcBorders>
              <w:top w:val="nil"/>
              <w:left w:val="nil"/>
              <w:bottom w:val="single" w:sz="8" w:space="0" w:color="auto"/>
              <w:right w:val="single" w:sz="8" w:space="0" w:color="auto"/>
            </w:tcBorders>
            <w:shd w:val="clear" w:color="auto" w:fill="auto"/>
          </w:tcPr>
          <w:p w14:paraId="73DF2C14" w14:textId="06E6C49D"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11.32</w:t>
            </w:r>
          </w:p>
        </w:tc>
      </w:tr>
      <w:tr w:rsidR="00A35427" w:rsidRPr="00315A8E" w14:paraId="656817C8" w14:textId="77777777" w:rsidTr="009B25B5">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06728F5" w14:textId="3912A80E" w:rsidR="00A35427" w:rsidRPr="00315A8E" w:rsidRDefault="00A35427" w:rsidP="00A35427">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From</w:t>
            </w:r>
            <w:r w:rsidRPr="00315A8E">
              <w:rPr>
                <w:rFonts w:ascii="Times New Roman" w:eastAsia="Times New Roman" w:hAnsi="Times New Roman"/>
                <w:color w:val="000000"/>
                <w:sz w:val="24"/>
                <w:szCs w:val="24"/>
              </w:rPr>
              <w:t xml:space="preserve"> 500</w:t>
            </w:r>
            <w:r>
              <w:rPr>
                <w:rFonts w:ascii="Times New Roman" w:eastAsia="Times New Roman" w:hAnsi="Times New Roman"/>
                <w:color w:val="000000"/>
                <w:sz w:val="24"/>
                <w:szCs w:val="24"/>
              </w:rPr>
              <w:t>,</w:t>
            </w:r>
            <w:r w:rsidRPr="00315A8E">
              <w:rPr>
                <w:rFonts w:ascii="Times New Roman" w:eastAsia="Times New Roman" w:hAnsi="Times New Roman"/>
                <w:color w:val="000000"/>
                <w:sz w:val="24"/>
                <w:szCs w:val="24"/>
              </w:rPr>
              <w:t>000</w:t>
            </w:r>
          </w:p>
        </w:tc>
        <w:tc>
          <w:tcPr>
            <w:tcW w:w="1887" w:type="dxa"/>
            <w:tcBorders>
              <w:top w:val="nil"/>
              <w:left w:val="nil"/>
              <w:bottom w:val="single" w:sz="8" w:space="0" w:color="auto"/>
              <w:right w:val="single" w:sz="8" w:space="0" w:color="auto"/>
            </w:tcBorders>
            <w:shd w:val="clear" w:color="auto" w:fill="auto"/>
          </w:tcPr>
          <w:p w14:paraId="709B3670" w14:textId="1FCEACC9"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1</w:t>
            </w:r>
          </w:p>
        </w:tc>
        <w:tc>
          <w:tcPr>
            <w:tcW w:w="2973" w:type="dxa"/>
            <w:tcBorders>
              <w:top w:val="nil"/>
              <w:left w:val="nil"/>
              <w:bottom w:val="single" w:sz="8" w:space="0" w:color="auto"/>
              <w:right w:val="single" w:sz="8" w:space="0" w:color="auto"/>
            </w:tcBorders>
            <w:shd w:val="clear" w:color="auto" w:fill="auto"/>
          </w:tcPr>
          <w:p w14:paraId="0D84550F" w14:textId="36E49244"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 xml:space="preserve"> 3,534,805.46   </w:t>
            </w:r>
          </w:p>
        </w:tc>
        <w:tc>
          <w:tcPr>
            <w:tcW w:w="1700" w:type="dxa"/>
            <w:tcBorders>
              <w:top w:val="nil"/>
              <w:left w:val="nil"/>
              <w:bottom w:val="single" w:sz="8" w:space="0" w:color="auto"/>
              <w:right w:val="single" w:sz="8" w:space="0" w:color="auto"/>
            </w:tcBorders>
            <w:shd w:val="clear" w:color="auto" w:fill="auto"/>
          </w:tcPr>
          <w:p w14:paraId="28BFE95B" w14:textId="5E11630C" w:rsidR="00A35427" w:rsidRPr="002C4B4A" w:rsidRDefault="00A35427" w:rsidP="00A35427">
            <w:pPr>
              <w:spacing w:after="0"/>
              <w:jc w:val="right"/>
              <w:rPr>
                <w:rFonts w:ascii="Times New Roman" w:eastAsia="Times New Roman" w:hAnsi="Times New Roman"/>
                <w:color w:val="000000"/>
                <w:sz w:val="24"/>
                <w:szCs w:val="24"/>
              </w:rPr>
            </w:pPr>
            <w:r w:rsidRPr="00A35427">
              <w:rPr>
                <w:rFonts w:ascii="Times New Roman" w:eastAsia="Times New Roman" w:hAnsi="Times New Roman"/>
                <w:color w:val="000000"/>
                <w:sz w:val="24"/>
                <w:szCs w:val="24"/>
              </w:rPr>
              <w:t>42.35</w:t>
            </w:r>
          </w:p>
        </w:tc>
      </w:tr>
      <w:tr w:rsidR="00A35427" w:rsidRPr="00315A8E" w14:paraId="7A11D66F" w14:textId="77777777" w:rsidTr="009B25B5">
        <w:trPr>
          <w:trHeight w:val="315"/>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56537AF" w14:textId="145BC920" w:rsidR="00A35427" w:rsidRPr="00315A8E" w:rsidRDefault="00A35427" w:rsidP="00A35427">
            <w:pPr>
              <w:spacing w:after="0"/>
              <w:ind w:left="720" w:hanging="7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Total</w:t>
            </w:r>
          </w:p>
        </w:tc>
        <w:tc>
          <w:tcPr>
            <w:tcW w:w="1887" w:type="dxa"/>
            <w:tcBorders>
              <w:top w:val="nil"/>
              <w:left w:val="nil"/>
              <w:bottom w:val="single" w:sz="8" w:space="0" w:color="auto"/>
              <w:right w:val="single" w:sz="8" w:space="0" w:color="auto"/>
            </w:tcBorders>
            <w:shd w:val="clear" w:color="auto" w:fill="auto"/>
          </w:tcPr>
          <w:p w14:paraId="77162138" w14:textId="4B128E8F" w:rsidR="00A35427" w:rsidRPr="00A35427" w:rsidRDefault="00A35427" w:rsidP="00A35427">
            <w:pPr>
              <w:spacing w:after="0"/>
              <w:jc w:val="right"/>
              <w:rPr>
                <w:rFonts w:ascii="Times New Roman" w:eastAsia="Times New Roman" w:hAnsi="Times New Roman"/>
                <w:b/>
                <w:bCs/>
                <w:color w:val="000000"/>
                <w:sz w:val="24"/>
                <w:szCs w:val="24"/>
              </w:rPr>
            </w:pPr>
            <w:r w:rsidRPr="00A35427">
              <w:rPr>
                <w:rFonts w:ascii="Times New Roman" w:eastAsia="Times New Roman" w:hAnsi="Times New Roman"/>
                <w:b/>
                <w:bCs/>
                <w:color w:val="000000"/>
                <w:sz w:val="24"/>
                <w:szCs w:val="24"/>
              </w:rPr>
              <w:t>2</w:t>
            </w:r>
            <w:r>
              <w:rPr>
                <w:rFonts w:ascii="Times New Roman" w:eastAsia="Times New Roman" w:hAnsi="Times New Roman"/>
                <w:b/>
                <w:bCs/>
                <w:color w:val="000000"/>
                <w:sz w:val="24"/>
                <w:szCs w:val="24"/>
              </w:rPr>
              <w:t>,</w:t>
            </w:r>
            <w:r w:rsidRPr="00A35427">
              <w:rPr>
                <w:rFonts w:ascii="Times New Roman" w:eastAsia="Times New Roman" w:hAnsi="Times New Roman"/>
                <w:b/>
                <w:bCs/>
                <w:color w:val="000000"/>
                <w:sz w:val="24"/>
                <w:szCs w:val="24"/>
              </w:rPr>
              <w:t>675</w:t>
            </w:r>
          </w:p>
        </w:tc>
        <w:tc>
          <w:tcPr>
            <w:tcW w:w="2973" w:type="dxa"/>
            <w:tcBorders>
              <w:top w:val="nil"/>
              <w:left w:val="nil"/>
              <w:bottom w:val="single" w:sz="8" w:space="0" w:color="auto"/>
              <w:right w:val="single" w:sz="8" w:space="0" w:color="auto"/>
            </w:tcBorders>
            <w:shd w:val="clear" w:color="auto" w:fill="auto"/>
          </w:tcPr>
          <w:p w14:paraId="270549B9" w14:textId="0125497E" w:rsidR="00A35427" w:rsidRPr="00A35427" w:rsidRDefault="00A35427" w:rsidP="00A35427">
            <w:pPr>
              <w:spacing w:after="0"/>
              <w:jc w:val="right"/>
              <w:rPr>
                <w:rFonts w:ascii="Times New Roman" w:eastAsia="Times New Roman" w:hAnsi="Times New Roman"/>
                <w:b/>
                <w:bCs/>
                <w:color w:val="000000"/>
                <w:sz w:val="24"/>
                <w:szCs w:val="24"/>
              </w:rPr>
            </w:pPr>
            <w:r w:rsidRPr="00A35427">
              <w:rPr>
                <w:rFonts w:ascii="Times New Roman" w:eastAsia="Times New Roman" w:hAnsi="Times New Roman"/>
                <w:b/>
                <w:bCs/>
                <w:color w:val="000000"/>
                <w:sz w:val="24"/>
                <w:szCs w:val="24"/>
              </w:rPr>
              <w:t xml:space="preserve"> 8,345,966.62   </w:t>
            </w:r>
          </w:p>
        </w:tc>
        <w:tc>
          <w:tcPr>
            <w:tcW w:w="1700" w:type="dxa"/>
            <w:tcBorders>
              <w:top w:val="nil"/>
              <w:left w:val="nil"/>
              <w:bottom w:val="single" w:sz="8" w:space="0" w:color="auto"/>
              <w:right w:val="single" w:sz="8" w:space="0" w:color="auto"/>
            </w:tcBorders>
            <w:shd w:val="clear" w:color="auto" w:fill="auto"/>
            <w:hideMark/>
          </w:tcPr>
          <w:p w14:paraId="10E9F2BC" w14:textId="4E85C1B5" w:rsidR="00A35427" w:rsidRPr="00A35427" w:rsidRDefault="00A35427" w:rsidP="00A35427">
            <w:pPr>
              <w:spacing w:after="0"/>
              <w:jc w:val="right"/>
              <w:rPr>
                <w:rFonts w:ascii="Times New Roman" w:eastAsia="Times New Roman" w:hAnsi="Times New Roman"/>
                <w:b/>
                <w:bCs/>
                <w:color w:val="000000"/>
                <w:sz w:val="24"/>
                <w:szCs w:val="24"/>
              </w:rPr>
            </w:pPr>
            <w:r w:rsidRPr="00A35427">
              <w:rPr>
                <w:rFonts w:ascii="Times New Roman" w:eastAsia="Times New Roman" w:hAnsi="Times New Roman"/>
                <w:b/>
                <w:bCs/>
                <w:color w:val="000000"/>
                <w:sz w:val="24"/>
                <w:szCs w:val="24"/>
              </w:rPr>
              <w:t>100.00</w:t>
            </w:r>
          </w:p>
        </w:tc>
      </w:tr>
    </w:tbl>
    <w:p w14:paraId="6B5618EA" w14:textId="20804184" w:rsidR="00BE6F63" w:rsidRPr="00315A8E" w:rsidRDefault="008A3EA9" w:rsidP="000B0C18">
      <w:pPr>
        <w:shd w:val="clear" w:color="auto" w:fill="FFFFFF"/>
        <w:tabs>
          <w:tab w:val="left" w:pos="540"/>
        </w:tabs>
        <w:spacing w:before="120" w:after="0"/>
        <w:jc w:val="both"/>
        <w:rPr>
          <w:rFonts w:ascii="Times New Roman" w:hAnsi="Times New Roman"/>
          <w:sz w:val="24"/>
          <w:szCs w:val="24"/>
          <w:lang w:val="nl-NL"/>
        </w:rPr>
      </w:pPr>
      <w:r>
        <w:rPr>
          <w:rFonts w:ascii="Times New Roman" w:hAnsi="Times New Roman"/>
          <w:b/>
          <w:sz w:val="24"/>
          <w:szCs w:val="24"/>
          <w:lang w:val="nl-NL"/>
        </w:rPr>
        <w:t>4.3</w:t>
      </w:r>
      <w:r w:rsidR="00BE6F63" w:rsidRPr="00315A8E">
        <w:rPr>
          <w:rFonts w:ascii="Times New Roman" w:hAnsi="Times New Roman"/>
          <w:b/>
          <w:sz w:val="24"/>
          <w:szCs w:val="24"/>
          <w:lang w:val="nl-NL"/>
        </w:rPr>
        <w:t>.</w:t>
      </w:r>
      <w:r w:rsidR="00BE6F63" w:rsidRPr="00315A8E">
        <w:rPr>
          <w:rFonts w:ascii="Times New Roman" w:hAnsi="Times New Roman"/>
          <w:sz w:val="24"/>
          <w:szCs w:val="24"/>
          <w:lang w:val="nl-NL"/>
        </w:rPr>
        <w:t xml:space="preserve"> </w:t>
      </w:r>
      <w:r w:rsidR="00EA7970">
        <w:rPr>
          <w:rFonts w:ascii="Times New Roman" w:hAnsi="Times New Roman"/>
          <w:b/>
          <w:sz w:val="24"/>
          <w:szCs w:val="24"/>
          <w:lang w:val="nl-NL"/>
        </w:rPr>
        <w:t>Hidden cost</w:t>
      </w:r>
      <w:r w:rsidR="000122D9">
        <w:rPr>
          <w:rFonts w:ascii="Times New Roman" w:hAnsi="Times New Roman"/>
          <w:b/>
          <w:sz w:val="24"/>
          <w:szCs w:val="24"/>
          <w:lang w:val="nl-NL"/>
        </w:rPr>
        <w:t>s</w:t>
      </w:r>
      <w:r w:rsidR="00EA7970">
        <w:rPr>
          <w:rFonts w:ascii="Times New Roman" w:hAnsi="Times New Roman"/>
          <w:b/>
          <w:sz w:val="24"/>
          <w:szCs w:val="24"/>
          <w:lang w:val="nl-NL"/>
        </w:rPr>
        <w:t xml:space="preserve"> and discount</w:t>
      </w:r>
      <w:r w:rsidR="000122D9">
        <w:rPr>
          <w:rFonts w:ascii="Times New Roman" w:hAnsi="Times New Roman"/>
          <w:b/>
          <w:sz w:val="24"/>
          <w:szCs w:val="24"/>
          <w:lang w:val="nl-NL"/>
        </w:rPr>
        <w:t>s</w:t>
      </w:r>
    </w:p>
    <w:p w14:paraId="2CF47CB2" w14:textId="1C2D9617" w:rsidR="00EA34DF" w:rsidRDefault="00EA7970" w:rsidP="000B0C18">
      <w:pPr>
        <w:shd w:val="clear" w:color="auto" w:fill="FFFFFF"/>
        <w:tabs>
          <w:tab w:val="left" w:pos="540"/>
        </w:tabs>
        <w:spacing w:before="120" w:after="0"/>
        <w:jc w:val="both"/>
        <w:rPr>
          <w:rFonts w:ascii="Times New Roman" w:hAnsi="Times New Roman"/>
          <w:sz w:val="24"/>
          <w:szCs w:val="24"/>
          <w:lang w:val="nl-NL"/>
        </w:rPr>
      </w:pPr>
      <w:r>
        <w:rPr>
          <w:rFonts w:ascii="Times New Roman" w:hAnsi="Times New Roman"/>
          <w:sz w:val="24"/>
          <w:szCs w:val="24"/>
          <w:lang w:val="nl-NL"/>
        </w:rPr>
        <w:t xml:space="preserve">The Fund did not </w:t>
      </w:r>
      <w:r w:rsidR="00A52DE0">
        <w:rPr>
          <w:rFonts w:ascii="Times New Roman" w:hAnsi="Times New Roman"/>
          <w:sz w:val="24"/>
          <w:szCs w:val="24"/>
          <w:lang w:val="nl-NL"/>
        </w:rPr>
        <w:t>have hidden cost</w:t>
      </w:r>
      <w:r w:rsidR="008971AB" w:rsidRPr="00315A8E">
        <w:rPr>
          <w:rFonts w:ascii="Times New Roman" w:hAnsi="Times New Roman"/>
          <w:sz w:val="24"/>
          <w:szCs w:val="24"/>
          <w:lang w:val="nl-NL"/>
        </w:rPr>
        <w:t>.</w:t>
      </w:r>
      <w:r w:rsidR="00A52DE0">
        <w:rPr>
          <w:rFonts w:ascii="Times New Roman" w:hAnsi="Times New Roman"/>
          <w:sz w:val="24"/>
          <w:szCs w:val="24"/>
          <w:lang w:val="nl-NL"/>
        </w:rPr>
        <w:t xml:space="preserve"> All of fund expense are specified in Fund charter and </w:t>
      </w:r>
      <w:r w:rsidR="000122D9">
        <w:rPr>
          <w:rFonts w:ascii="Times New Roman" w:hAnsi="Times New Roman"/>
          <w:sz w:val="24"/>
          <w:szCs w:val="24"/>
          <w:lang w:val="nl-NL"/>
        </w:rPr>
        <w:t>P</w:t>
      </w:r>
      <w:r w:rsidR="00A52DE0">
        <w:rPr>
          <w:rFonts w:ascii="Times New Roman" w:hAnsi="Times New Roman"/>
          <w:sz w:val="24"/>
          <w:szCs w:val="24"/>
          <w:lang w:val="nl-NL"/>
        </w:rPr>
        <w:t>rospectus</w:t>
      </w:r>
      <w:r w:rsidR="008971AB" w:rsidRPr="00315A8E">
        <w:rPr>
          <w:rFonts w:ascii="Times New Roman" w:hAnsi="Times New Roman"/>
          <w:sz w:val="24"/>
          <w:szCs w:val="24"/>
          <w:lang w:val="nl-NL"/>
        </w:rPr>
        <w:t>.</w:t>
      </w:r>
    </w:p>
    <w:p w14:paraId="09BA3567" w14:textId="77777777" w:rsidR="00975C3F" w:rsidRPr="00315A8E" w:rsidRDefault="00975C3F" w:rsidP="000B0C18">
      <w:pPr>
        <w:shd w:val="clear" w:color="auto" w:fill="FFFFFF"/>
        <w:tabs>
          <w:tab w:val="left" w:pos="540"/>
        </w:tabs>
        <w:spacing w:before="120" w:after="0"/>
        <w:jc w:val="both"/>
        <w:rPr>
          <w:rFonts w:ascii="Times New Roman" w:hAnsi="Times New Roman"/>
          <w:sz w:val="24"/>
          <w:szCs w:val="24"/>
          <w:lang w:val="nl-NL"/>
        </w:rPr>
      </w:pPr>
    </w:p>
    <w:p w14:paraId="2C66B5E4" w14:textId="4F9D9F70" w:rsidR="00BE6F63" w:rsidRPr="00315A8E" w:rsidRDefault="001C4F41" w:rsidP="000B0C18">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5</w:t>
      </w:r>
      <w:r w:rsidR="00BE6F63" w:rsidRPr="00893D4C">
        <w:rPr>
          <w:rFonts w:ascii="Times New Roman" w:hAnsi="Times New Roman"/>
          <w:b/>
          <w:sz w:val="24"/>
          <w:szCs w:val="24"/>
          <w:lang w:val="nl-NL"/>
        </w:rPr>
        <w:t xml:space="preserve">. </w:t>
      </w:r>
      <w:r w:rsidR="00FF0271" w:rsidRPr="00893D4C">
        <w:rPr>
          <w:rFonts w:ascii="Times New Roman" w:hAnsi="Times New Roman"/>
          <w:b/>
          <w:sz w:val="24"/>
          <w:szCs w:val="24"/>
          <w:lang w:val="nl-NL"/>
        </w:rPr>
        <w:t>Market prospects</w:t>
      </w:r>
    </w:p>
    <w:p w14:paraId="56D0651F"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t>The chart below is showing the VN-index movement (blue line, refer to axis in the right) and trading value (red column, refer to axis in the left, unit: billion VND/day)</w:t>
      </w:r>
    </w:p>
    <w:p w14:paraId="13C43DF7"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p>
    <w:p w14:paraId="6A89EF31" w14:textId="7989252E"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drawing>
          <wp:inline distT="0" distB="0" distL="0" distR="0" wp14:anchorId="25D4265C" wp14:editId="0C998B7E">
            <wp:extent cx="5943600" cy="3695700"/>
            <wp:effectExtent l="0" t="0" r="0" b="0"/>
            <wp:docPr id="1910139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14:paraId="48AA090F"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t>The Vietnamese stock market concluded Q4/2024 with the VN-Index closing at 1,266 points, a slight decrease of nearly 1.6% compared to the end of Q3. However, for the full year, the VN-Index rose by 12.1% compared to the end of 2023. The market's slight decline in Q4 was primarily due to heightened exchange rate risks in the latter months of 2024. The State Bank of Vietnam employed a combination of tools, including treasury bill issuance and USD interventions, to stabilize the exchange rate. While effective, these measures temporarily impacted market liquidity. Additionally, market interest rates trended upward as credit growth surged during the quarter.</w:t>
      </w:r>
    </w:p>
    <w:p w14:paraId="3E2A719F"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p>
    <w:p w14:paraId="7D55AD2F"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lastRenderedPageBreak/>
        <w:t>Market liquidity also experienced a slight decrease, with the average trading value reaching 15,015 billion VND per session in Q4, down 9.4% compared to the Q3 average of 16,580 billion VND per session.</w:t>
      </w:r>
    </w:p>
    <w:p w14:paraId="5AE1EEC4"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t>In the long term, Vietnam's stock market retains significant growth drivers, supported by regulatory policies. Policymakers aim to maintain an accommodative monetary stance, promoting credit growth to support economic expansion. Fiscal policies are also being expanded, with public investment activities serving as a catalyst for other economic sectors. This approach is expected to foster corporate earnings and domestic consumption recovery in the near future. Moreover, the anticipated upgrade of Vietnam's stock market classification next year serves as a key foundation for sustainable development.</w:t>
      </w:r>
    </w:p>
    <w:p w14:paraId="2891B770"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t>That said, certain challenges warrant further observation, particularly external risks such as exchange rate volatility, international trade conditions, sluggish domestic consumption recovery, and the pace of public investment disbursement in the coming years. Global events, including geopolitical conflicts and economic slowdowns in China, could also impact the domestic situation.</w:t>
      </w:r>
    </w:p>
    <w:p w14:paraId="7936FC2E" w14:textId="77777777" w:rsidR="00741B8C" w:rsidRPr="00741B8C"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t>Nevertheless, with flexible macroeconomic management and supportive measures, the Vietnamese stock market is forecasted to continue recovering in the long term. According to assessments by international organizations, Vietnam’s economy remains a bright spot in the current landscape. Positive macroeconomic factors such as strong GDP growth, controlled inflation, and stable FDI inflows provide a solid foundation for the stock market’s sustainable growth.</w:t>
      </w:r>
    </w:p>
    <w:p w14:paraId="28A7A03E" w14:textId="4D756F44" w:rsidR="00115F9B" w:rsidRDefault="00741B8C" w:rsidP="00741B8C">
      <w:pPr>
        <w:shd w:val="clear" w:color="auto" w:fill="FFFFFF"/>
        <w:tabs>
          <w:tab w:val="left" w:pos="540"/>
        </w:tabs>
        <w:spacing w:before="120" w:after="0"/>
        <w:jc w:val="both"/>
        <w:rPr>
          <w:rFonts w:ascii="Times New Roman" w:hAnsi="Times New Roman"/>
          <w:sz w:val="24"/>
          <w:szCs w:val="24"/>
        </w:rPr>
      </w:pPr>
      <w:r w:rsidRPr="00741B8C">
        <w:rPr>
          <w:rFonts w:ascii="Times New Roman" w:hAnsi="Times New Roman"/>
          <w:sz w:val="24"/>
          <w:szCs w:val="24"/>
        </w:rPr>
        <w:t>Additionally, Vietnam’s stock market is considered more attractively valued compared to others in the region. Growth drivers such as increased foreign ownership limits, accelerated state-owned enterprise equitization, and the market upgrade outlook are expected to attract further foreign capital inflows. While vigilance is still needed for external and domestic risks, we remain confident in the long-term growth trajectory of Vietnam's stock market.</w:t>
      </w:r>
    </w:p>
    <w:p w14:paraId="177EF410" w14:textId="77777777" w:rsidR="00741B8C" w:rsidRDefault="00741B8C" w:rsidP="00741B8C">
      <w:pPr>
        <w:shd w:val="clear" w:color="auto" w:fill="FFFFFF"/>
        <w:tabs>
          <w:tab w:val="left" w:pos="540"/>
        </w:tabs>
        <w:spacing w:before="120" w:after="0"/>
        <w:jc w:val="both"/>
        <w:rPr>
          <w:rFonts w:ascii="Times New Roman" w:hAnsi="Times New Roman"/>
          <w:sz w:val="24"/>
          <w:szCs w:val="24"/>
          <w:lang w:val="nl-NL"/>
        </w:rPr>
      </w:pPr>
    </w:p>
    <w:p w14:paraId="2C6678DA" w14:textId="7610D9E1" w:rsidR="00BE6F63" w:rsidRPr="00315A8E" w:rsidRDefault="001C4F41" w:rsidP="000B0C18">
      <w:pPr>
        <w:shd w:val="clear" w:color="auto" w:fill="FFFFFF"/>
        <w:tabs>
          <w:tab w:val="left" w:pos="540"/>
        </w:tabs>
        <w:spacing w:before="120" w:after="0"/>
        <w:jc w:val="both"/>
        <w:rPr>
          <w:rFonts w:ascii="Times New Roman" w:hAnsi="Times New Roman"/>
          <w:b/>
          <w:sz w:val="24"/>
          <w:szCs w:val="24"/>
          <w:lang w:val="nl-NL"/>
        </w:rPr>
      </w:pPr>
      <w:r w:rsidRPr="00893D4C">
        <w:rPr>
          <w:rFonts w:ascii="Times New Roman" w:hAnsi="Times New Roman"/>
          <w:b/>
          <w:sz w:val="24"/>
          <w:szCs w:val="24"/>
          <w:lang w:val="nl-NL"/>
        </w:rPr>
        <w:t>6</w:t>
      </w:r>
      <w:r w:rsidR="00BE6F63" w:rsidRPr="00893D4C">
        <w:rPr>
          <w:rFonts w:ascii="Times New Roman" w:hAnsi="Times New Roman"/>
          <w:b/>
          <w:sz w:val="24"/>
          <w:szCs w:val="24"/>
          <w:lang w:val="nl-NL"/>
        </w:rPr>
        <w:t xml:space="preserve">. </w:t>
      </w:r>
      <w:r w:rsidR="00A52DE0" w:rsidRPr="00893D4C">
        <w:rPr>
          <w:rFonts w:ascii="Times New Roman" w:hAnsi="Times New Roman"/>
          <w:b/>
          <w:sz w:val="24"/>
          <w:szCs w:val="24"/>
          <w:lang w:val="nl-NL"/>
        </w:rPr>
        <w:t>Other information</w:t>
      </w:r>
    </w:p>
    <w:p w14:paraId="72FF594F" w14:textId="1AAA6975" w:rsidR="00062055" w:rsidRPr="001C4F41" w:rsidRDefault="001C4F41" w:rsidP="001C4F41">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 xml:space="preserve">6.1. </w:t>
      </w:r>
      <w:r w:rsidR="004C7EEE" w:rsidRPr="004C7EEE">
        <w:rPr>
          <w:rFonts w:ascii="Times New Roman" w:hAnsi="Times New Roman"/>
          <w:b/>
          <w:sz w:val="24"/>
          <w:szCs w:val="24"/>
          <w:lang w:val="nl-NL"/>
        </w:rPr>
        <w:t>Board of Executives of the Fund Management Company</w:t>
      </w:r>
    </w:p>
    <w:tbl>
      <w:tblPr>
        <w:tblStyle w:val="TableGrid"/>
        <w:tblW w:w="9360" w:type="dxa"/>
        <w:tblInd w:w="355" w:type="dxa"/>
        <w:tblLook w:val="04A0" w:firstRow="1" w:lastRow="0" w:firstColumn="1" w:lastColumn="0" w:noHBand="0" w:noVBand="1"/>
      </w:tblPr>
      <w:tblGrid>
        <w:gridCol w:w="2970"/>
        <w:gridCol w:w="6390"/>
      </w:tblGrid>
      <w:tr w:rsidR="008D18CC" w:rsidRPr="00762CC5" w14:paraId="3C369C32" w14:textId="77777777" w:rsidTr="005416A3">
        <w:tc>
          <w:tcPr>
            <w:tcW w:w="2970" w:type="dxa"/>
          </w:tcPr>
          <w:p w14:paraId="359D2BDA" w14:textId="77777777" w:rsidR="008D18CC" w:rsidRPr="009B356D" w:rsidRDefault="008D18CC" w:rsidP="005416A3">
            <w:pPr>
              <w:pStyle w:val="ListParagraph"/>
              <w:tabs>
                <w:tab w:val="left" w:pos="540"/>
              </w:tabs>
              <w:spacing w:after="0"/>
              <w:ind w:left="0"/>
              <w:rPr>
                <w:rFonts w:ascii="Times New Roman" w:hAnsi="Times New Roman"/>
                <w:b/>
                <w:bCs/>
                <w:iCs/>
                <w:sz w:val="24"/>
                <w:szCs w:val="24"/>
                <w:lang w:val="nl-NL"/>
              </w:rPr>
            </w:pPr>
            <w:r w:rsidRPr="009B356D">
              <w:rPr>
                <w:rFonts w:ascii="Times New Roman" w:hAnsi="Times New Roman"/>
                <w:b/>
                <w:bCs/>
                <w:iCs/>
                <w:sz w:val="24"/>
                <w:szCs w:val="24"/>
                <w:lang w:val="nl-NL"/>
              </w:rPr>
              <w:t>Mr Tran Chau Danh</w:t>
            </w:r>
          </w:p>
          <w:p w14:paraId="69A81E30" w14:textId="77777777" w:rsidR="008D18CC" w:rsidRPr="009B356D" w:rsidRDefault="008D18CC" w:rsidP="005416A3">
            <w:pPr>
              <w:pStyle w:val="ListParagraph"/>
              <w:tabs>
                <w:tab w:val="left" w:pos="540"/>
              </w:tabs>
              <w:spacing w:after="0"/>
              <w:ind w:left="0"/>
              <w:rPr>
                <w:rFonts w:ascii="Times New Roman" w:hAnsi="Times New Roman"/>
                <w:sz w:val="24"/>
                <w:szCs w:val="24"/>
                <w:lang w:val="nl-NL"/>
              </w:rPr>
            </w:pPr>
            <w:r w:rsidRPr="009B356D">
              <w:rPr>
                <w:rFonts w:ascii="Times New Roman" w:hAnsi="Times New Roman"/>
                <w:sz w:val="24"/>
                <w:szCs w:val="24"/>
                <w:lang w:val="nl-NL"/>
              </w:rPr>
              <w:t>Chief Executive Officer cum Chief Investment Officer</w:t>
            </w:r>
          </w:p>
          <w:p w14:paraId="719B0907" w14:textId="77777777" w:rsidR="008D18CC" w:rsidRPr="00315A8E" w:rsidRDefault="008D18CC" w:rsidP="005416A3">
            <w:pPr>
              <w:pStyle w:val="ListParagraph"/>
              <w:tabs>
                <w:tab w:val="left" w:pos="540"/>
              </w:tabs>
              <w:spacing w:before="120" w:after="0"/>
              <w:ind w:left="0"/>
              <w:jc w:val="both"/>
              <w:rPr>
                <w:rFonts w:ascii="Times New Roman" w:hAnsi="Times New Roman"/>
                <w:sz w:val="24"/>
                <w:szCs w:val="24"/>
                <w:lang w:val="nl-NL"/>
              </w:rPr>
            </w:pPr>
          </w:p>
        </w:tc>
        <w:tc>
          <w:tcPr>
            <w:tcW w:w="6390" w:type="dxa"/>
          </w:tcPr>
          <w:p w14:paraId="63B63977" w14:textId="77777777" w:rsidR="008D18CC" w:rsidRPr="009B356D" w:rsidRDefault="008D18CC" w:rsidP="005416A3">
            <w:pPr>
              <w:pStyle w:val="ListParagraph"/>
              <w:spacing w:after="0"/>
              <w:ind w:left="0"/>
              <w:jc w:val="both"/>
              <w:rPr>
                <w:rFonts w:ascii="Times New Roman" w:hAnsi="Times New Roman"/>
                <w:b/>
                <w:i/>
                <w:sz w:val="24"/>
                <w:szCs w:val="24"/>
                <w:lang w:val="nl-NL"/>
              </w:rPr>
            </w:pPr>
            <w:r w:rsidRPr="009B356D">
              <w:rPr>
                <w:rFonts w:ascii="Times New Roman" w:hAnsi="Times New Roman"/>
                <w:b/>
                <w:i/>
                <w:sz w:val="24"/>
                <w:szCs w:val="24"/>
                <w:lang w:val="nl-NL"/>
              </w:rPr>
              <w:t>Qualification</w:t>
            </w:r>
          </w:p>
          <w:p w14:paraId="60C78809" w14:textId="77777777" w:rsidR="008D18CC" w:rsidRPr="009B356D"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Bacherlor of International Trade, Foreign Trade University Ho Chi Minh City Campus;</w:t>
            </w:r>
          </w:p>
          <w:p w14:paraId="61BA9A22" w14:textId="77777777" w:rsidR="008D18CC" w:rsidRPr="009B356D"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Bachelor of Banking, Banking University of Ho Chi Minh City;</w:t>
            </w:r>
          </w:p>
          <w:p w14:paraId="4EB7F486" w14:textId="77777777" w:rsidR="008D18CC" w:rsidRPr="009B356D"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Master of Development Economics, Vietnam – Netherlands Project for MA in Development Economics;</w:t>
            </w:r>
          </w:p>
          <w:p w14:paraId="022CA149" w14:textId="77777777" w:rsidR="008D18CC" w:rsidRPr="009B356D"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CFA Charter-holder;</w:t>
            </w:r>
          </w:p>
          <w:p w14:paraId="05341084" w14:textId="77777777" w:rsidR="008D18CC" w:rsidRPr="009B356D"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t>CMT Charter-holder;</w:t>
            </w:r>
          </w:p>
          <w:p w14:paraId="396A44C3" w14:textId="77777777" w:rsidR="008D18CC" w:rsidRPr="009B356D"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9B356D">
              <w:rPr>
                <w:rFonts w:ascii="Times New Roman" w:hAnsi="Times New Roman"/>
                <w:sz w:val="24"/>
                <w:szCs w:val="24"/>
                <w:lang w:val="nl-NL"/>
              </w:rPr>
              <w:lastRenderedPageBreak/>
              <w:t>Fund Management License issued by State Securities Commission.</w:t>
            </w:r>
          </w:p>
          <w:p w14:paraId="3CDCCF23" w14:textId="77777777" w:rsidR="008D18CC" w:rsidRDefault="008D18CC" w:rsidP="005416A3">
            <w:pPr>
              <w:tabs>
                <w:tab w:val="left" w:pos="706"/>
              </w:tabs>
              <w:spacing w:after="0"/>
              <w:jc w:val="both"/>
              <w:rPr>
                <w:rFonts w:ascii="Times New Roman" w:hAnsi="Times New Roman"/>
                <w:b/>
                <w:i/>
                <w:sz w:val="24"/>
                <w:szCs w:val="24"/>
                <w:lang w:val="nl-NL"/>
              </w:rPr>
            </w:pPr>
          </w:p>
          <w:p w14:paraId="7E034841" w14:textId="77777777" w:rsidR="008D18CC" w:rsidRPr="009B356D" w:rsidRDefault="008D18CC" w:rsidP="005416A3">
            <w:pPr>
              <w:tabs>
                <w:tab w:val="left" w:pos="706"/>
              </w:tabs>
              <w:spacing w:after="0"/>
              <w:jc w:val="both"/>
              <w:rPr>
                <w:rFonts w:ascii="Times New Roman" w:hAnsi="Times New Roman"/>
                <w:b/>
                <w:i/>
                <w:sz w:val="24"/>
                <w:szCs w:val="24"/>
                <w:lang w:val="nl-NL"/>
              </w:rPr>
            </w:pPr>
            <w:r w:rsidRPr="009B356D">
              <w:rPr>
                <w:rFonts w:ascii="Times New Roman" w:hAnsi="Times New Roman"/>
                <w:b/>
                <w:i/>
                <w:sz w:val="24"/>
                <w:szCs w:val="24"/>
                <w:lang w:val="nl-NL"/>
              </w:rPr>
              <w:t>Working experience</w:t>
            </w:r>
          </w:p>
          <w:p w14:paraId="5EF7DDF2" w14:textId="77777777" w:rsidR="008D18CC" w:rsidRPr="009B356D" w:rsidRDefault="008D18CC" w:rsidP="005416A3">
            <w:pPr>
              <w:tabs>
                <w:tab w:val="left" w:pos="706"/>
              </w:tabs>
              <w:spacing w:after="0"/>
              <w:jc w:val="both"/>
              <w:rPr>
                <w:rFonts w:ascii="Times New Roman" w:hAnsi="Times New Roman"/>
                <w:sz w:val="24"/>
                <w:szCs w:val="24"/>
                <w:lang w:val="nl-NL"/>
              </w:rPr>
            </w:pPr>
            <w:r w:rsidRPr="009B356D">
              <w:rPr>
                <w:rFonts w:ascii="Times New Roman" w:hAnsi="Times New Roman"/>
                <w:sz w:val="24"/>
                <w:szCs w:val="24"/>
                <w:lang w:val="nl-NL"/>
              </w:rPr>
              <w:t xml:space="preserve">He has </w:t>
            </w:r>
            <w:r>
              <w:rPr>
                <w:rFonts w:ascii="Times New Roman" w:hAnsi="Times New Roman"/>
                <w:sz w:val="24"/>
                <w:szCs w:val="24"/>
                <w:lang w:val="nl-NL"/>
              </w:rPr>
              <w:t>more than</w:t>
            </w:r>
            <w:r w:rsidRPr="009B356D">
              <w:rPr>
                <w:rFonts w:ascii="Times New Roman" w:hAnsi="Times New Roman"/>
                <w:sz w:val="24"/>
                <w:szCs w:val="24"/>
                <w:lang w:val="nl-NL"/>
              </w:rPr>
              <w:t xml:space="preserve"> 20 (twenty) years experience in Investment and Fund/ Portfolio Management in Vietnam.  He has been exposed to the Vietnam stock market since its inception.</w:t>
            </w:r>
          </w:p>
          <w:p w14:paraId="660A8253" w14:textId="77777777" w:rsidR="008D18CC" w:rsidRPr="00762CC5" w:rsidRDefault="008D18CC" w:rsidP="005416A3">
            <w:pPr>
              <w:tabs>
                <w:tab w:val="left" w:pos="706"/>
              </w:tabs>
              <w:spacing w:before="120"/>
              <w:jc w:val="both"/>
              <w:rPr>
                <w:rFonts w:ascii="Times New Roman" w:hAnsi="Times New Roman"/>
                <w:sz w:val="24"/>
                <w:szCs w:val="24"/>
                <w:lang w:val="nl-NL"/>
              </w:rPr>
            </w:pPr>
            <w:r w:rsidRPr="009B356D">
              <w:rPr>
                <w:rFonts w:ascii="Times New Roman" w:hAnsi="Times New Roman"/>
                <w:sz w:val="24"/>
                <w:szCs w:val="24"/>
                <w:lang w:val="nl-NL"/>
              </w:rPr>
              <w:t xml:space="preserve">Before joining the Company, he worked for Dai-ichi Vietnam Life Insurance Company Ltd. taking the role of Chief Investment Officer, and being in charge of investment activities and ALM since 2011.Before joining Dai-ichi Vietnam Life Insurance Company Ltd., he held senior positions in both local and international Fund Management Companies. Notably, he had been working </w:t>
            </w:r>
            <w:r>
              <w:rPr>
                <w:rFonts w:ascii="Times New Roman" w:hAnsi="Times New Roman"/>
                <w:sz w:val="24"/>
                <w:szCs w:val="24"/>
                <w:lang w:val="nl-NL"/>
              </w:rPr>
              <w:t>more than</w:t>
            </w:r>
            <w:r w:rsidRPr="009B356D">
              <w:rPr>
                <w:rFonts w:ascii="Times New Roman" w:hAnsi="Times New Roman"/>
                <w:sz w:val="24"/>
                <w:szCs w:val="24"/>
                <w:lang w:val="nl-NL"/>
              </w:rPr>
              <w:t xml:space="preserve"> 7 (seven) years with Prudential Vietnam Fund Management Limited Liability Company (renamed as Eastspring Investments Fund Management Limited Liability Company).</w:t>
            </w:r>
          </w:p>
        </w:tc>
      </w:tr>
      <w:tr w:rsidR="008D18CC" w:rsidRPr="00315A8E" w14:paraId="38DFAF88" w14:textId="77777777" w:rsidTr="005416A3">
        <w:tc>
          <w:tcPr>
            <w:tcW w:w="2970" w:type="dxa"/>
          </w:tcPr>
          <w:p w14:paraId="1612EF2D" w14:textId="77777777" w:rsidR="008D18CC" w:rsidRPr="008D18CC" w:rsidRDefault="008D18CC" w:rsidP="005416A3">
            <w:pPr>
              <w:pStyle w:val="ListParagraph"/>
              <w:tabs>
                <w:tab w:val="left" w:pos="540"/>
              </w:tabs>
              <w:spacing w:after="0"/>
              <w:ind w:left="0"/>
              <w:rPr>
                <w:rFonts w:ascii="Times New Roman" w:hAnsi="Times New Roman"/>
                <w:sz w:val="24"/>
                <w:szCs w:val="24"/>
                <w:lang w:val="nl-NL"/>
              </w:rPr>
            </w:pPr>
            <w:r w:rsidRPr="008D18CC">
              <w:rPr>
                <w:rFonts w:ascii="Times New Roman" w:hAnsi="Times New Roman"/>
                <w:b/>
                <w:bCs/>
                <w:iCs/>
                <w:sz w:val="24"/>
                <w:szCs w:val="24"/>
                <w:lang w:val="nl-NL"/>
              </w:rPr>
              <w:lastRenderedPageBreak/>
              <w:t>Mr</w:t>
            </w:r>
            <w:r w:rsidRPr="008D18CC">
              <w:rPr>
                <w:rFonts w:ascii="Times New Roman" w:hAnsi="Times New Roman"/>
                <w:sz w:val="24"/>
                <w:szCs w:val="24"/>
                <w:lang w:val="nl-NL"/>
              </w:rPr>
              <w:t xml:space="preserve"> </w:t>
            </w:r>
            <w:r w:rsidRPr="008D18CC">
              <w:rPr>
                <w:rFonts w:ascii="Times New Roman" w:hAnsi="Times New Roman"/>
                <w:b/>
                <w:bCs/>
                <w:sz w:val="24"/>
                <w:szCs w:val="24"/>
                <w:lang w:val="nl-NL"/>
              </w:rPr>
              <w:t>Fumihiko Kida</w:t>
            </w:r>
          </w:p>
          <w:p w14:paraId="6F6E4FFC" w14:textId="77777777" w:rsidR="008D18CC" w:rsidRPr="008D18CC" w:rsidRDefault="008D18CC" w:rsidP="005416A3">
            <w:pPr>
              <w:pStyle w:val="ListParagraph"/>
              <w:tabs>
                <w:tab w:val="left" w:pos="540"/>
              </w:tabs>
              <w:spacing w:before="120" w:after="0"/>
              <w:ind w:left="0"/>
              <w:jc w:val="both"/>
              <w:rPr>
                <w:rFonts w:ascii="Times New Roman" w:hAnsi="Times New Roman"/>
                <w:sz w:val="24"/>
                <w:szCs w:val="24"/>
                <w:lang w:val="nl-NL"/>
              </w:rPr>
            </w:pPr>
            <w:r w:rsidRPr="008D18CC">
              <w:rPr>
                <w:rFonts w:ascii="Times New Roman" w:hAnsi="Times New Roman"/>
                <w:sz w:val="24"/>
                <w:szCs w:val="24"/>
                <w:lang w:val="nl-NL"/>
              </w:rPr>
              <w:t>Assistant Director, Head of Corporate Planning and Risk Management</w:t>
            </w:r>
          </w:p>
        </w:tc>
        <w:tc>
          <w:tcPr>
            <w:tcW w:w="6390" w:type="dxa"/>
          </w:tcPr>
          <w:p w14:paraId="75FF710D" w14:textId="77777777" w:rsidR="008D18CC" w:rsidRPr="008D18CC" w:rsidRDefault="008D18CC" w:rsidP="005416A3">
            <w:pPr>
              <w:pStyle w:val="ListParagraph"/>
              <w:tabs>
                <w:tab w:val="left" w:pos="540"/>
              </w:tabs>
              <w:spacing w:after="0"/>
              <w:ind w:left="0"/>
              <w:jc w:val="both"/>
              <w:rPr>
                <w:rFonts w:ascii="Times New Roman" w:hAnsi="Times New Roman"/>
                <w:b/>
                <w:i/>
                <w:sz w:val="24"/>
                <w:szCs w:val="24"/>
                <w:lang w:val="nl-NL"/>
              </w:rPr>
            </w:pPr>
            <w:r w:rsidRPr="008D18CC">
              <w:rPr>
                <w:rFonts w:ascii="Times New Roman" w:hAnsi="Times New Roman"/>
                <w:b/>
                <w:i/>
                <w:sz w:val="24"/>
                <w:szCs w:val="24"/>
                <w:lang w:val="nl-NL"/>
              </w:rPr>
              <w:t>Qualification</w:t>
            </w:r>
          </w:p>
          <w:p w14:paraId="63A0FF53" w14:textId="77777777" w:rsidR="008D18CC" w:rsidRPr="008D18CC"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8D18CC">
              <w:rPr>
                <w:rFonts w:ascii="Times New Roman" w:hAnsi="Times New Roman"/>
                <w:sz w:val="24"/>
                <w:szCs w:val="24"/>
                <w:lang w:val="nl-NL"/>
              </w:rPr>
              <w:t>Bachelor of Commerce Economics, Doshisha University, Japan;</w:t>
            </w:r>
          </w:p>
          <w:p w14:paraId="326FF9E1" w14:textId="77777777" w:rsidR="008D18CC" w:rsidRPr="008D18CC" w:rsidRDefault="008D18CC" w:rsidP="005416A3">
            <w:pPr>
              <w:pStyle w:val="ListParagraph"/>
              <w:numPr>
                <w:ilvl w:val="0"/>
                <w:numId w:val="18"/>
              </w:numPr>
              <w:tabs>
                <w:tab w:val="left" w:pos="409"/>
              </w:tabs>
              <w:spacing w:after="0"/>
              <w:ind w:left="409"/>
              <w:jc w:val="both"/>
              <w:rPr>
                <w:rFonts w:ascii="Times New Roman" w:hAnsi="Times New Roman"/>
                <w:sz w:val="24"/>
                <w:szCs w:val="24"/>
                <w:lang w:val="nl-NL"/>
              </w:rPr>
            </w:pPr>
            <w:r w:rsidRPr="008D18CC">
              <w:rPr>
                <w:rFonts w:ascii="Times New Roman" w:hAnsi="Times New Roman"/>
                <w:sz w:val="24"/>
                <w:szCs w:val="24"/>
                <w:lang w:val="nl-NL"/>
              </w:rPr>
              <w:t>Certicated Member Analyst of Securities Analysts Association of Japan.</w:t>
            </w:r>
          </w:p>
          <w:p w14:paraId="0CD207B4" w14:textId="77777777" w:rsidR="008D18CC" w:rsidRPr="008D18CC" w:rsidRDefault="008D18CC" w:rsidP="005416A3">
            <w:pPr>
              <w:pStyle w:val="ListParagraph"/>
              <w:tabs>
                <w:tab w:val="left" w:pos="409"/>
              </w:tabs>
              <w:spacing w:after="0"/>
              <w:ind w:left="409"/>
              <w:jc w:val="both"/>
              <w:rPr>
                <w:rFonts w:ascii="Times New Roman" w:hAnsi="Times New Roman"/>
                <w:b/>
                <w:i/>
                <w:sz w:val="24"/>
                <w:szCs w:val="24"/>
                <w:lang w:val="nl-NL"/>
              </w:rPr>
            </w:pPr>
          </w:p>
          <w:p w14:paraId="707E4B7F" w14:textId="77777777" w:rsidR="008D18CC" w:rsidRPr="008D18CC" w:rsidRDefault="008D18CC" w:rsidP="005416A3">
            <w:pPr>
              <w:tabs>
                <w:tab w:val="left" w:pos="706"/>
              </w:tabs>
              <w:spacing w:after="0"/>
              <w:jc w:val="both"/>
              <w:rPr>
                <w:rFonts w:ascii="Times New Roman" w:hAnsi="Times New Roman"/>
                <w:b/>
                <w:i/>
                <w:sz w:val="24"/>
                <w:szCs w:val="24"/>
                <w:lang w:val="nl-NL"/>
              </w:rPr>
            </w:pPr>
            <w:r w:rsidRPr="008D18CC">
              <w:rPr>
                <w:rFonts w:ascii="Times New Roman" w:hAnsi="Times New Roman"/>
                <w:b/>
                <w:i/>
                <w:sz w:val="24"/>
                <w:szCs w:val="24"/>
                <w:lang w:val="nl-NL"/>
              </w:rPr>
              <w:t>Working experience</w:t>
            </w:r>
          </w:p>
          <w:p w14:paraId="38232F70" w14:textId="77777777" w:rsidR="008D18CC" w:rsidRPr="008D18CC" w:rsidRDefault="008D18CC" w:rsidP="005416A3">
            <w:pPr>
              <w:tabs>
                <w:tab w:val="left" w:pos="706"/>
              </w:tabs>
              <w:spacing w:before="120"/>
              <w:jc w:val="both"/>
              <w:rPr>
                <w:rFonts w:ascii="Times New Roman" w:hAnsi="Times New Roman"/>
                <w:sz w:val="24"/>
                <w:szCs w:val="24"/>
                <w:lang w:val="nl-NL"/>
              </w:rPr>
            </w:pPr>
            <w:r w:rsidRPr="008D18CC">
              <w:rPr>
                <w:rFonts w:ascii="Times New Roman" w:hAnsi="Times New Roman"/>
                <w:sz w:val="24"/>
                <w:szCs w:val="24"/>
                <w:lang w:val="nl-NL"/>
              </w:rPr>
              <w:t xml:space="preserve">He has more than 14 (fourteen) experience years for working and researching in finance, insurance and investment abroad. Before moving to Vietnam to join the Company, he held the senior levels of Corporate Finance Center at Dai-ichi Life Insurance Company (Japan), in charge of senior loan lending and credit decisions for leveraged buyout/asset-based lending investments. Before that, he also had experience in investment budgeting and controlling at Dai-ichi Life Japan. </w:t>
            </w:r>
          </w:p>
        </w:tc>
      </w:tr>
    </w:tbl>
    <w:p w14:paraId="785DD80F" w14:textId="77777777" w:rsidR="008D18CC" w:rsidRPr="00315A8E" w:rsidRDefault="008D18CC" w:rsidP="008D18CC">
      <w:pPr>
        <w:pStyle w:val="ListParagraph"/>
        <w:shd w:val="clear" w:color="auto" w:fill="FFFFFF"/>
        <w:tabs>
          <w:tab w:val="left" w:pos="540"/>
        </w:tabs>
        <w:spacing w:before="120" w:after="0"/>
        <w:ind w:left="1440"/>
        <w:jc w:val="both"/>
        <w:rPr>
          <w:rFonts w:ascii="Times New Roman" w:hAnsi="Times New Roman"/>
          <w:sz w:val="24"/>
          <w:szCs w:val="24"/>
          <w:lang w:val="nl-NL"/>
        </w:rPr>
      </w:pPr>
    </w:p>
    <w:p w14:paraId="4336A79E" w14:textId="77777777" w:rsidR="008D18CC" w:rsidRPr="001C4F41" w:rsidRDefault="008D18CC" w:rsidP="008D18CC">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 xml:space="preserve">6.2. </w:t>
      </w:r>
      <w:r w:rsidRPr="004C7EEE">
        <w:rPr>
          <w:rFonts w:ascii="Times New Roman" w:hAnsi="Times New Roman"/>
          <w:b/>
          <w:sz w:val="24"/>
          <w:szCs w:val="24"/>
          <w:lang w:val="nl-NL"/>
        </w:rPr>
        <w:t>Fund operating personnel</w:t>
      </w:r>
    </w:p>
    <w:p w14:paraId="22C92F18" w14:textId="77777777" w:rsidR="008D18CC" w:rsidRDefault="008D18CC" w:rsidP="008D18CC">
      <w:pPr>
        <w:pStyle w:val="ListParagraph"/>
        <w:shd w:val="clear" w:color="auto" w:fill="FFFFFF"/>
        <w:tabs>
          <w:tab w:val="left" w:pos="540"/>
        </w:tabs>
        <w:spacing w:before="120" w:after="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8D18CC" w:rsidRPr="00315A8E" w14:paraId="1F9E63EF" w14:textId="77777777" w:rsidTr="005416A3">
        <w:tc>
          <w:tcPr>
            <w:tcW w:w="2970" w:type="dxa"/>
          </w:tcPr>
          <w:p w14:paraId="1B206544" w14:textId="77777777" w:rsidR="008D18CC" w:rsidRPr="004C7EEE" w:rsidRDefault="008D18CC" w:rsidP="005416A3">
            <w:pPr>
              <w:pStyle w:val="ListParagraph"/>
              <w:tabs>
                <w:tab w:val="left" w:pos="540"/>
              </w:tabs>
              <w:spacing w:line="240" w:lineRule="exact"/>
              <w:ind w:left="0"/>
              <w:jc w:val="both"/>
              <w:rPr>
                <w:rFonts w:ascii="Times New Roman" w:hAnsi="Times New Roman"/>
                <w:b/>
                <w:bCs/>
                <w:iCs/>
                <w:sz w:val="24"/>
                <w:szCs w:val="24"/>
                <w:lang w:val="nl-NL"/>
              </w:rPr>
            </w:pPr>
            <w:r w:rsidRPr="004C7EEE">
              <w:rPr>
                <w:rFonts w:ascii="Times New Roman" w:hAnsi="Times New Roman"/>
                <w:b/>
                <w:bCs/>
                <w:iCs/>
                <w:sz w:val="24"/>
                <w:szCs w:val="24"/>
                <w:lang w:val="nl-NL"/>
              </w:rPr>
              <w:t>Mr Dang Nguyen Truong Tai,</w:t>
            </w:r>
          </w:p>
          <w:p w14:paraId="44D9A85C" w14:textId="77777777" w:rsidR="008D18CC" w:rsidRPr="004C7EEE" w:rsidRDefault="008D18CC" w:rsidP="005416A3">
            <w:pPr>
              <w:pStyle w:val="ListParagraph"/>
              <w:tabs>
                <w:tab w:val="left" w:pos="540"/>
              </w:tabs>
              <w:spacing w:before="120" w:after="0"/>
              <w:ind w:left="0"/>
              <w:jc w:val="both"/>
              <w:rPr>
                <w:rFonts w:ascii="Times New Roman" w:hAnsi="Times New Roman"/>
                <w:sz w:val="24"/>
                <w:szCs w:val="24"/>
                <w:lang w:val="nl-NL"/>
              </w:rPr>
            </w:pPr>
            <w:r w:rsidRPr="004C7EEE">
              <w:rPr>
                <w:rFonts w:ascii="Times New Roman" w:hAnsi="Times New Roman"/>
                <w:sz w:val="24"/>
                <w:szCs w:val="24"/>
                <w:lang w:val="nl-NL"/>
              </w:rPr>
              <w:t>Investment Director</w:t>
            </w:r>
          </w:p>
        </w:tc>
        <w:tc>
          <w:tcPr>
            <w:tcW w:w="6390" w:type="dxa"/>
          </w:tcPr>
          <w:p w14:paraId="6D1CB646" w14:textId="77777777" w:rsidR="008D18CC" w:rsidRPr="004C7EEE" w:rsidRDefault="008D18CC" w:rsidP="005416A3">
            <w:pPr>
              <w:pStyle w:val="ListParagraph"/>
              <w:tabs>
                <w:tab w:val="left" w:pos="540"/>
              </w:tabs>
              <w:spacing w:line="240" w:lineRule="exact"/>
              <w:ind w:left="0"/>
              <w:jc w:val="both"/>
              <w:rPr>
                <w:rFonts w:ascii="Times New Roman" w:hAnsi="Times New Roman"/>
                <w:b/>
                <w:i/>
                <w:sz w:val="24"/>
                <w:szCs w:val="24"/>
                <w:lang w:val="nl-NL"/>
              </w:rPr>
            </w:pPr>
            <w:r w:rsidRPr="004C7EEE">
              <w:rPr>
                <w:rFonts w:ascii="Times New Roman" w:hAnsi="Times New Roman"/>
                <w:b/>
                <w:i/>
                <w:sz w:val="24"/>
                <w:szCs w:val="24"/>
                <w:lang w:val="nl-NL"/>
              </w:rPr>
              <w:t>Qualification</w:t>
            </w:r>
          </w:p>
          <w:p w14:paraId="01898801" w14:textId="77777777" w:rsidR="008D18CC" w:rsidRPr="00D157D6" w:rsidRDefault="008D18CC" w:rsidP="005416A3">
            <w:pPr>
              <w:pStyle w:val="ListParagraph"/>
              <w:numPr>
                <w:ilvl w:val="0"/>
                <w:numId w:val="7"/>
              </w:numPr>
              <w:spacing w:after="0"/>
              <w:jc w:val="both"/>
              <w:rPr>
                <w:rFonts w:ascii="Times New Roman" w:hAnsi="Times New Roman"/>
                <w:sz w:val="24"/>
                <w:szCs w:val="24"/>
              </w:rPr>
            </w:pPr>
            <w:r w:rsidRPr="004C7EEE">
              <w:rPr>
                <w:rFonts w:ascii="Times New Roman" w:hAnsi="Times New Roman"/>
                <w:sz w:val="24"/>
                <w:szCs w:val="24"/>
                <w:lang w:val="nl-NL"/>
              </w:rPr>
              <w:t xml:space="preserve">Bachelor of </w:t>
            </w:r>
            <w:r w:rsidRPr="00D157D6">
              <w:rPr>
                <w:rFonts w:ascii="Times New Roman" w:hAnsi="Times New Roman"/>
                <w:sz w:val="24"/>
                <w:szCs w:val="24"/>
              </w:rPr>
              <w:t>Economics, University of Economics Ho Chi Minh city;</w:t>
            </w:r>
          </w:p>
          <w:p w14:paraId="1433497C" w14:textId="77777777" w:rsidR="008D18CC" w:rsidRPr="00D157D6" w:rsidRDefault="008D18CC" w:rsidP="005416A3">
            <w:pPr>
              <w:pStyle w:val="ListParagraph"/>
              <w:numPr>
                <w:ilvl w:val="0"/>
                <w:numId w:val="7"/>
              </w:numPr>
              <w:spacing w:after="0"/>
              <w:jc w:val="both"/>
              <w:rPr>
                <w:rFonts w:ascii="Times New Roman" w:hAnsi="Times New Roman"/>
                <w:sz w:val="24"/>
                <w:szCs w:val="24"/>
              </w:rPr>
            </w:pPr>
            <w:r w:rsidRPr="00D157D6">
              <w:rPr>
                <w:rFonts w:ascii="Times New Roman" w:hAnsi="Times New Roman"/>
                <w:sz w:val="24"/>
                <w:szCs w:val="24"/>
              </w:rPr>
              <w:lastRenderedPageBreak/>
              <w:t>Master of Science from UQAM Program (University of Quebec at Montreal, Canada);</w:t>
            </w:r>
          </w:p>
          <w:p w14:paraId="0E96D997" w14:textId="77777777" w:rsidR="008D18CC" w:rsidRPr="00D157D6" w:rsidRDefault="008D18CC" w:rsidP="005416A3">
            <w:pPr>
              <w:pStyle w:val="ListParagraph"/>
              <w:numPr>
                <w:ilvl w:val="0"/>
                <w:numId w:val="7"/>
              </w:numPr>
              <w:spacing w:after="0"/>
              <w:jc w:val="both"/>
              <w:rPr>
                <w:rFonts w:ascii="Times New Roman" w:hAnsi="Times New Roman"/>
                <w:sz w:val="24"/>
                <w:szCs w:val="24"/>
              </w:rPr>
            </w:pPr>
            <w:r w:rsidRPr="00D157D6">
              <w:rPr>
                <w:rFonts w:ascii="Times New Roman" w:hAnsi="Times New Roman"/>
                <w:sz w:val="24"/>
                <w:szCs w:val="24"/>
              </w:rPr>
              <w:t>CFO Certificate issued by PACE and AAFM;</w:t>
            </w:r>
          </w:p>
          <w:p w14:paraId="4C263608" w14:textId="77777777" w:rsidR="008D18CC" w:rsidRPr="00D157D6" w:rsidRDefault="008D18CC" w:rsidP="005416A3">
            <w:pPr>
              <w:pStyle w:val="ListParagraph"/>
              <w:numPr>
                <w:ilvl w:val="0"/>
                <w:numId w:val="7"/>
              </w:numPr>
              <w:spacing w:after="0"/>
              <w:jc w:val="both"/>
              <w:rPr>
                <w:rFonts w:ascii="Times New Roman" w:hAnsi="Times New Roman"/>
                <w:sz w:val="24"/>
                <w:szCs w:val="24"/>
              </w:rPr>
            </w:pPr>
            <w:r w:rsidRPr="00D157D6">
              <w:rPr>
                <w:rFonts w:ascii="Times New Roman" w:hAnsi="Times New Roman"/>
                <w:sz w:val="24"/>
                <w:szCs w:val="24"/>
              </w:rPr>
              <w:t>Fund Management License issued by State Securities Commission.</w:t>
            </w:r>
          </w:p>
          <w:p w14:paraId="70F3ADA1" w14:textId="77777777" w:rsidR="008D18CC" w:rsidRPr="00D157D6" w:rsidRDefault="008D18CC" w:rsidP="005416A3">
            <w:pPr>
              <w:tabs>
                <w:tab w:val="left" w:pos="706"/>
              </w:tabs>
              <w:spacing w:before="120" w:line="240" w:lineRule="exact"/>
              <w:jc w:val="both"/>
              <w:rPr>
                <w:rFonts w:ascii="Times New Roman" w:hAnsi="Times New Roman"/>
                <w:sz w:val="24"/>
                <w:szCs w:val="24"/>
              </w:rPr>
            </w:pPr>
            <w:r w:rsidRPr="004C7EEE">
              <w:rPr>
                <w:rFonts w:ascii="Times New Roman" w:hAnsi="Times New Roman"/>
                <w:b/>
                <w:i/>
                <w:sz w:val="24"/>
                <w:szCs w:val="24"/>
                <w:lang w:val="nl-NL"/>
              </w:rPr>
              <w:t>Working experience</w:t>
            </w:r>
          </w:p>
          <w:p w14:paraId="4F58DE0B" w14:textId="77777777" w:rsidR="008D18CC" w:rsidRPr="00D157D6" w:rsidRDefault="008D18CC" w:rsidP="005416A3">
            <w:pPr>
              <w:pStyle w:val="ListParagraph"/>
              <w:tabs>
                <w:tab w:val="left" w:pos="540"/>
              </w:tabs>
              <w:spacing w:after="0"/>
              <w:ind w:left="0"/>
              <w:jc w:val="both"/>
              <w:rPr>
                <w:rFonts w:ascii="Times New Roman" w:hAnsi="Times New Roman"/>
                <w:sz w:val="24"/>
                <w:szCs w:val="24"/>
              </w:rPr>
            </w:pPr>
            <w:r w:rsidRPr="00D157D6">
              <w:rPr>
                <w:rFonts w:ascii="Times New Roman" w:hAnsi="Times New Roman"/>
                <w:sz w:val="24"/>
                <w:szCs w:val="24"/>
              </w:rPr>
              <w:t>He has 20</w:t>
            </w:r>
            <w:r>
              <w:rPr>
                <w:rFonts w:ascii="Times New Roman" w:hAnsi="Times New Roman"/>
                <w:sz w:val="24"/>
                <w:szCs w:val="24"/>
              </w:rPr>
              <w:t xml:space="preserve"> </w:t>
            </w:r>
            <w:r w:rsidRPr="00D157D6">
              <w:rPr>
                <w:rFonts w:ascii="Times New Roman" w:hAnsi="Times New Roman"/>
                <w:sz w:val="24"/>
                <w:szCs w:val="24"/>
              </w:rPr>
              <w:t xml:space="preserve">(twenty) working years in the sector of investment, banking financial, in which more than </w:t>
            </w:r>
            <w:r>
              <w:rPr>
                <w:rFonts w:ascii="Times New Roman" w:hAnsi="Times New Roman"/>
                <w:sz w:val="24"/>
                <w:szCs w:val="24"/>
              </w:rPr>
              <w:t>fourteen</w:t>
            </w:r>
            <w:r w:rsidRPr="00D157D6">
              <w:rPr>
                <w:rFonts w:ascii="Times New Roman" w:hAnsi="Times New Roman"/>
                <w:sz w:val="24"/>
                <w:szCs w:val="24"/>
              </w:rPr>
              <w:t xml:space="preserve"> (</w:t>
            </w:r>
            <w:r>
              <w:rPr>
                <w:rFonts w:ascii="Times New Roman" w:hAnsi="Times New Roman"/>
                <w:sz w:val="24"/>
                <w:szCs w:val="24"/>
              </w:rPr>
              <w:t>14</w:t>
            </w:r>
            <w:r w:rsidRPr="00D157D6">
              <w:rPr>
                <w:rFonts w:ascii="Times New Roman" w:hAnsi="Times New Roman"/>
                <w:sz w:val="24"/>
                <w:szCs w:val="24"/>
              </w:rPr>
              <w:t xml:space="preserve">) years of holding positions in charge of equity investment in companies as Nhan Viet Fund Management Company, </w:t>
            </w:r>
            <w:proofErr w:type="spellStart"/>
            <w:r w:rsidRPr="00D157D6">
              <w:rPr>
                <w:rFonts w:ascii="Times New Roman" w:hAnsi="Times New Roman"/>
                <w:sz w:val="24"/>
                <w:szCs w:val="24"/>
              </w:rPr>
              <w:t>Dai-ichi</w:t>
            </w:r>
            <w:proofErr w:type="spellEnd"/>
            <w:r w:rsidRPr="00D157D6">
              <w:rPr>
                <w:rFonts w:ascii="Times New Roman" w:hAnsi="Times New Roman"/>
                <w:sz w:val="24"/>
                <w:szCs w:val="24"/>
              </w:rPr>
              <w:t xml:space="preserve"> Life Vietnam Insurance Company Ltd., </w:t>
            </w:r>
            <w:proofErr w:type="spellStart"/>
            <w:r w:rsidRPr="00D157D6">
              <w:rPr>
                <w:rFonts w:ascii="Times New Roman" w:hAnsi="Times New Roman"/>
                <w:sz w:val="24"/>
                <w:szCs w:val="24"/>
              </w:rPr>
              <w:t>Dai-ichi</w:t>
            </w:r>
            <w:proofErr w:type="spellEnd"/>
            <w:r w:rsidRPr="00D157D6">
              <w:rPr>
                <w:rFonts w:ascii="Times New Roman" w:hAnsi="Times New Roman"/>
                <w:sz w:val="24"/>
                <w:szCs w:val="24"/>
              </w:rPr>
              <w:t xml:space="preserve"> Life Vietnam Fund Management Company Ltd.</w:t>
            </w:r>
          </w:p>
          <w:p w14:paraId="1F4B1CD9" w14:textId="77777777" w:rsidR="008D18CC" w:rsidRPr="00DB1E58" w:rsidRDefault="008D18CC" w:rsidP="005416A3">
            <w:pPr>
              <w:spacing w:after="0"/>
              <w:jc w:val="both"/>
              <w:rPr>
                <w:rFonts w:ascii="Times New Roman" w:hAnsi="Times New Roman"/>
                <w:bCs/>
                <w:iCs/>
                <w:sz w:val="24"/>
                <w:szCs w:val="24"/>
                <w:lang w:val="nl-NL"/>
              </w:rPr>
            </w:pPr>
          </w:p>
        </w:tc>
      </w:tr>
      <w:tr w:rsidR="008D18CC" w:rsidRPr="00315A8E" w14:paraId="649AF57D" w14:textId="77777777" w:rsidTr="005416A3">
        <w:tc>
          <w:tcPr>
            <w:tcW w:w="2970" w:type="dxa"/>
          </w:tcPr>
          <w:p w14:paraId="1A6C9D05" w14:textId="77777777" w:rsidR="008D18CC" w:rsidRPr="004C7EEE" w:rsidRDefault="008D18CC" w:rsidP="005416A3">
            <w:pPr>
              <w:pStyle w:val="ListParagraph"/>
              <w:tabs>
                <w:tab w:val="left" w:pos="540"/>
              </w:tabs>
              <w:spacing w:line="240" w:lineRule="exact"/>
              <w:ind w:left="0"/>
              <w:jc w:val="both"/>
              <w:rPr>
                <w:rFonts w:ascii="Times New Roman" w:hAnsi="Times New Roman"/>
                <w:b/>
                <w:bCs/>
                <w:iCs/>
                <w:sz w:val="24"/>
                <w:szCs w:val="24"/>
                <w:lang w:val="nl-NL"/>
              </w:rPr>
            </w:pPr>
            <w:r w:rsidRPr="004C7EEE">
              <w:rPr>
                <w:rFonts w:ascii="Times New Roman" w:hAnsi="Times New Roman"/>
                <w:b/>
                <w:bCs/>
                <w:iCs/>
                <w:sz w:val="24"/>
                <w:szCs w:val="24"/>
                <w:lang w:val="nl-NL"/>
              </w:rPr>
              <w:lastRenderedPageBreak/>
              <w:t>Ms Tran Thi Anh Tram</w:t>
            </w:r>
          </w:p>
          <w:p w14:paraId="53D09072" w14:textId="77777777" w:rsidR="008D18CC" w:rsidRPr="004C7EEE" w:rsidRDefault="008D18CC" w:rsidP="005416A3">
            <w:pPr>
              <w:pStyle w:val="ListParagraph"/>
              <w:tabs>
                <w:tab w:val="left" w:pos="540"/>
              </w:tabs>
              <w:spacing w:before="120" w:after="0"/>
              <w:ind w:left="0"/>
              <w:jc w:val="both"/>
              <w:rPr>
                <w:rFonts w:ascii="Times New Roman" w:hAnsi="Times New Roman"/>
                <w:sz w:val="24"/>
                <w:szCs w:val="24"/>
                <w:lang w:val="nl-NL"/>
              </w:rPr>
            </w:pPr>
            <w:r>
              <w:rPr>
                <w:rFonts w:ascii="Times New Roman" w:hAnsi="Times New Roman"/>
                <w:sz w:val="24"/>
                <w:szCs w:val="24"/>
                <w:lang w:val="nl-NL"/>
              </w:rPr>
              <w:t xml:space="preserve">Fund Services Operations </w:t>
            </w:r>
            <w:r w:rsidRPr="004C7EEE">
              <w:rPr>
                <w:rFonts w:ascii="Times New Roman" w:hAnsi="Times New Roman"/>
                <w:sz w:val="24"/>
                <w:szCs w:val="24"/>
                <w:lang w:val="nl-NL"/>
              </w:rPr>
              <w:t>Senior Manager</w:t>
            </w:r>
          </w:p>
        </w:tc>
        <w:tc>
          <w:tcPr>
            <w:tcW w:w="6390" w:type="dxa"/>
          </w:tcPr>
          <w:p w14:paraId="03425822" w14:textId="77777777" w:rsidR="008D18CC" w:rsidRPr="004C7EEE" w:rsidRDefault="008D18CC" w:rsidP="005416A3">
            <w:pPr>
              <w:pStyle w:val="ListParagraph"/>
              <w:tabs>
                <w:tab w:val="left" w:pos="540"/>
              </w:tabs>
              <w:spacing w:line="240" w:lineRule="exact"/>
              <w:ind w:left="0"/>
              <w:jc w:val="both"/>
              <w:rPr>
                <w:rFonts w:ascii="Times New Roman" w:hAnsi="Times New Roman"/>
                <w:b/>
                <w:i/>
                <w:sz w:val="24"/>
                <w:szCs w:val="24"/>
                <w:lang w:val="nl-NL"/>
              </w:rPr>
            </w:pPr>
            <w:r w:rsidRPr="004C7EEE">
              <w:rPr>
                <w:rFonts w:ascii="Times New Roman" w:hAnsi="Times New Roman"/>
                <w:b/>
                <w:i/>
                <w:sz w:val="24"/>
                <w:szCs w:val="24"/>
                <w:lang w:val="nl-NL"/>
              </w:rPr>
              <w:t xml:space="preserve">Qualification </w:t>
            </w:r>
          </w:p>
          <w:p w14:paraId="233BC75A" w14:textId="77777777" w:rsidR="008D18CC" w:rsidRPr="00D157D6" w:rsidRDefault="008D18CC" w:rsidP="005416A3">
            <w:pPr>
              <w:pStyle w:val="ListParagraph"/>
              <w:numPr>
                <w:ilvl w:val="0"/>
                <w:numId w:val="7"/>
              </w:numPr>
              <w:spacing w:after="0"/>
              <w:jc w:val="both"/>
              <w:rPr>
                <w:rFonts w:ascii="Times New Roman" w:hAnsi="Times New Roman"/>
                <w:sz w:val="24"/>
                <w:szCs w:val="24"/>
              </w:rPr>
            </w:pPr>
            <w:r w:rsidRPr="00D157D6">
              <w:rPr>
                <w:rFonts w:ascii="Times New Roman" w:hAnsi="Times New Roman"/>
                <w:sz w:val="24"/>
                <w:szCs w:val="24"/>
                <w:lang w:val="nl-NL"/>
              </w:rPr>
              <w:t xml:space="preserve">Bachelor of </w:t>
            </w:r>
            <w:r w:rsidRPr="00D157D6">
              <w:rPr>
                <w:rFonts w:ascii="Times New Roman" w:hAnsi="Times New Roman"/>
                <w:sz w:val="24"/>
                <w:szCs w:val="24"/>
              </w:rPr>
              <w:t>Law, Ho Chi Minh city University of Law;</w:t>
            </w:r>
          </w:p>
          <w:p w14:paraId="475B879D" w14:textId="77777777" w:rsidR="008D18CC" w:rsidRPr="00D157D6" w:rsidRDefault="008D18CC" w:rsidP="005416A3">
            <w:pPr>
              <w:pStyle w:val="ListParagraph"/>
              <w:numPr>
                <w:ilvl w:val="0"/>
                <w:numId w:val="7"/>
              </w:numPr>
              <w:spacing w:after="0"/>
              <w:jc w:val="both"/>
              <w:rPr>
                <w:rFonts w:ascii="Times New Roman" w:hAnsi="Times New Roman"/>
                <w:sz w:val="24"/>
                <w:szCs w:val="24"/>
              </w:rPr>
            </w:pPr>
            <w:r w:rsidRPr="00D157D6">
              <w:rPr>
                <w:rFonts w:ascii="Times New Roman" w:hAnsi="Times New Roman"/>
                <w:sz w:val="24"/>
                <w:szCs w:val="24"/>
              </w:rPr>
              <w:t>Bachelor of Accounting – Audit, Van Lang University;</w:t>
            </w:r>
          </w:p>
          <w:p w14:paraId="1D6E5A32" w14:textId="77777777" w:rsidR="008D18CC" w:rsidRPr="00D157D6" w:rsidRDefault="008D18CC" w:rsidP="005416A3">
            <w:pPr>
              <w:pStyle w:val="ListParagraph"/>
              <w:numPr>
                <w:ilvl w:val="0"/>
                <w:numId w:val="7"/>
              </w:numPr>
              <w:spacing w:after="0"/>
              <w:jc w:val="both"/>
              <w:rPr>
                <w:rFonts w:ascii="Times New Roman" w:hAnsi="Times New Roman"/>
                <w:sz w:val="24"/>
                <w:szCs w:val="24"/>
                <w:lang w:val="nl-NL"/>
              </w:rPr>
            </w:pPr>
            <w:r w:rsidRPr="00D157D6">
              <w:rPr>
                <w:rFonts w:ascii="Times New Roman" w:hAnsi="Times New Roman"/>
                <w:sz w:val="24"/>
                <w:szCs w:val="24"/>
              </w:rPr>
              <w:t>Fund Management</w:t>
            </w:r>
            <w:r w:rsidRPr="00D157D6">
              <w:rPr>
                <w:rFonts w:ascii="Times New Roman" w:hAnsi="Times New Roman"/>
                <w:sz w:val="24"/>
                <w:szCs w:val="24"/>
                <w:lang w:val="nl-NL"/>
              </w:rPr>
              <w:t xml:space="preserve"> License issued by State Securities Commission.</w:t>
            </w:r>
          </w:p>
          <w:p w14:paraId="2D86E092" w14:textId="77777777" w:rsidR="008D18CC" w:rsidRPr="004C7EEE" w:rsidRDefault="008D18CC" w:rsidP="005416A3">
            <w:pPr>
              <w:tabs>
                <w:tab w:val="left" w:pos="706"/>
              </w:tabs>
              <w:spacing w:before="120" w:line="240" w:lineRule="exact"/>
              <w:jc w:val="both"/>
              <w:rPr>
                <w:rFonts w:ascii="Times New Roman" w:hAnsi="Times New Roman"/>
                <w:b/>
                <w:i/>
                <w:sz w:val="24"/>
                <w:szCs w:val="24"/>
                <w:lang w:val="nl-NL"/>
              </w:rPr>
            </w:pPr>
            <w:r w:rsidRPr="004C7EEE">
              <w:rPr>
                <w:rFonts w:ascii="Times New Roman" w:hAnsi="Times New Roman"/>
                <w:b/>
                <w:i/>
                <w:sz w:val="24"/>
                <w:szCs w:val="24"/>
                <w:lang w:val="nl-NL"/>
              </w:rPr>
              <w:t>Working experience</w:t>
            </w:r>
          </w:p>
          <w:p w14:paraId="2A62018E" w14:textId="77777777" w:rsidR="008D18CC" w:rsidRPr="004C7EEE" w:rsidRDefault="008D18CC" w:rsidP="005416A3">
            <w:pPr>
              <w:spacing w:after="0"/>
              <w:jc w:val="both"/>
              <w:rPr>
                <w:rFonts w:ascii="Times New Roman" w:hAnsi="Times New Roman"/>
                <w:sz w:val="24"/>
                <w:szCs w:val="24"/>
              </w:rPr>
            </w:pPr>
            <w:r w:rsidRPr="004C7EEE">
              <w:rPr>
                <w:rFonts w:ascii="Times New Roman" w:hAnsi="Times New Roman"/>
                <w:sz w:val="24"/>
                <w:szCs w:val="24"/>
              </w:rPr>
              <w:t xml:space="preserve">She has </w:t>
            </w:r>
            <w:r>
              <w:rPr>
                <w:rFonts w:ascii="Times New Roman" w:hAnsi="Times New Roman"/>
                <w:sz w:val="24"/>
                <w:szCs w:val="24"/>
              </w:rPr>
              <w:t>more than 18 (eighteen)</w:t>
            </w:r>
            <w:r w:rsidRPr="004C7EEE">
              <w:rPr>
                <w:rFonts w:ascii="Times New Roman" w:hAnsi="Times New Roman"/>
                <w:sz w:val="24"/>
                <w:szCs w:val="24"/>
              </w:rPr>
              <w:t xml:space="preserve"> experience years of finance and investment accounting; including </w:t>
            </w:r>
            <w:r>
              <w:rPr>
                <w:rFonts w:ascii="Times New Roman" w:hAnsi="Times New Roman"/>
                <w:sz w:val="24"/>
                <w:szCs w:val="24"/>
              </w:rPr>
              <w:t xml:space="preserve">more than 15 (fifteen) </w:t>
            </w:r>
            <w:r w:rsidRPr="004C7EEE">
              <w:rPr>
                <w:rFonts w:ascii="Times New Roman" w:hAnsi="Times New Roman"/>
                <w:sz w:val="24"/>
                <w:szCs w:val="24"/>
              </w:rPr>
              <w:t xml:space="preserve">years working in asset management at </w:t>
            </w:r>
            <w:proofErr w:type="spellStart"/>
            <w:r w:rsidRPr="004C7EEE">
              <w:rPr>
                <w:rFonts w:ascii="Times New Roman" w:hAnsi="Times New Roman"/>
                <w:sz w:val="24"/>
                <w:szCs w:val="24"/>
              </w:rPr>
              <w:t>Dai-ichi</w:t>
            </w:r>
            <w:proofErr w:type="spellEnd"/>
            <w:r w:rsidRPr="004C7EEE">
              <w:rPr>
                <w:rFonts w:ascii="Times New Roman" w:hAnsi="Times New Roman"/>
                <w:sz w:val="24"/>
                <w:szCs w:val="24"/>
              </w:rPr>
              <w:t xml:space="preserve"> Life Vietnam Fund Management Company Ltd and </w:t>
            </w:r>
            <w:proofErr w:type="spellStart"/>
            <w:r w:rsidRPr="004C7EEE">
              <w:rPr>
                <w:rFonts w:ascii="Times New Roman" w:hAnsi="Times New Roman"/>
                <w:sz w:val="24"/>
                <w:szCs w:val="24"/>
              </w:rPr>
              <w:t>Dai-ichi</w:t>
            </w:r>
            <w:proofErr w:type="spellEnd"/>
            <w:r w:rsidRPr="004C7EEE">
              <w:rPr>
                <w:rFonts w:ascii="Times New Roman" w:hAnsi="Times New Roman"/>
                <w:sz w:val="24"/>
                <w:szCs w:val="24"/>
              </w:rPr>
              <w:t xml:space="preserve"> Life Vietnam Insurance Company Ltd. </w:t>
            </w:r>
          </w:p>
          <w:p w14:paraId="0CE26720" w14:textId="77777777" w:rsidR="008D18CC" w:rsidRPr="004C7EEE" w:rsidRDefault="008D18CC" w:rsidP="005416A3">
            <w:pPr>
              <w:spacing w:before="60" w:after="60"/>
              <w:jc w:val="both"/>
              <w:rPr>
                <w:rFonts w:ascii="Times New Roman" w:hAnsi="Times New Roman"/>
                <w:sz w:val="24"/>
                <w:szCs w:val="24"/>
              </w:rPr>
            </w:pPr>
          </w:p>
        </w:tc>
      </w:tr>
    </w:tbl>
    <w:p w14:paraId="27C8A576" w14:textId="77777777" w:rsidR="008D18CC" w:rsidRPr="001C4F41" w:rsidRDefault="008D18CC" w:rsidP="008D18CC">
      <w:pPr>
        <w:shd w:val="clear" w:color="auto" w:fill="FFFFFF"/>
        <w:tabs>
          <w:tab w:val="left" w:pos="540"/>
        </w:tabs>
        <w:spacing w:before="120" w:after="0"/>
        <w:jc w:val="both"/>
        <w:rPr>
          <w:rFonts w:ascii="Times New Roman" w:hAnsi="Times New Roman"/>
          <w:b/>
          <w:sz w:val="24"/>
          <w:szCs w:val="24"/>
          <w:lang w:val="nl-NL"/>
        </w:rPr>
      </w:pPr>
      <w:r>
        <w:rPr>
          <w:rFonts w:ascii="Times New Roman" w:hAnsi="Times New Roman"/>
          <w:b/>
          <w:sz w:val="24"/>
          <w:szCs w:val="24"/>
          <w:lang w:val="nl-NL"/>
        </w:rPr>
        <w:t xml:space="preserve">6.3. </w:t>
      </w:r>
      <w:r w:rsidRPr="004C7EEE">
        <w:rPr>
          <w:rFonts w:ascii="Times New Roman" w:hAnsi="Times New Roman"/>
          <w:b/>
          <w:sz w:val="24"/>
          <w:szCs w:val="24"/>
          <w:lang w:val="nl-NL"/>
        </w:rPr>
        <w:t>Board of Representatives</w:t>
      </w:r>
    </w:p>
    <w:tbl>
      <w:tblPr>
        <w:tblStyle w:val="TableGrid"/>
        <w:tblW w:w="9360" w:type="dxa"/>
        <w:tblInd w:w="355" w:type="dxa"/>
        <w:tblLook w:val="04A0" w:firstRow="1" w:lastRow="0" w:firstColumn="1" w:lastColumn="0" w:noHBand="0" w:noVBand="1"/>
      </w:tblPr>
      <w:tblGrid>
        <w:gridCol w:w="2970"/>
        <w:gridCol w:w="6390"/>
      </w:tblGrid>
      <w:tr w:rsidR="008D18CC" w:rsidRPr="00315A8E" w14:paraId="48FFFC22" w14:textId="77777777" w:rsidTr="005416A3">
        <w:tc>
          <w:tcPr>
            <w:tcW w:w="2970" w:type="dxa"/>
          </w:tcPr>
          <w:p w14:paraId="57806CAB" w14:textId="77777777" w:rsidR="008D18CC" w:rsidRPr="00520D92" w:rsidRDefault="008D18CC" w:rsidP="005416A3">
            <w:pPr>
              <w:spacing w:after="0"/>
              <w:jc w:val="both"/>
              <w:rPr>
                <w:rFonts w:ascii="Times New Roman" w:hAnsi="Times New Roman"/>
                <w:b/>
                <w:bCs/>
                <w:iCs/>
                <w:sz w:val="24"/>
                <w:szCs w:val="24"/>
              </w:rPr>
            </w:pPr>
            <w:proofErr w:type="spellStart"/>
            <w:r w:rsidRPr="00520D92">
              <w:rPr>
                <w:rFonts w:ascii="Times New Roman" w:hAnsi="Times New Roman"/>
                <w:b/>
                <w:bCs/>
                <w:iCs/>
                <w:sz w:val="24"/>
                <w:szCs w:val="24"/>
              </w:rPr>
              <w:t>Mr</w:t>
            </w:r>
            <w:proofErr w:type="spellEnd"/>
            <w:r w:rsidRPr="00520D92">
              <w:rPr>
                <w:rFonts w:ascii="Times New Roman" w:hAnsi="Times New Roman"/>
                <w:b/>
                <w:bCs/>
                <w:iCs/>
                <w:sz w:val="24"/>
                <w:szCs w:val="24"/>
              </w:rPr>
              <w:t xml:space="preserve"> Do Hung Viet</w:t>
            </w:r>
          </w:p>
          <w:p w14:paraId="74D5BCED" w14:textId="77777777" w:rsidR="008D18CC" w:rsidRPr="00315A8E" w:rsidRDefault="008D18CC" w:rsidP="005416A3">
            <w:pPr>
              <w:spacing w:before="120" w:after="120"/>
              <w:jc w:val="both"/>
              <w:rPr>
                <w:rFonts w:ascii="Times New Roman" w:hAnsi="Times New Roman"/>
                <w:sz w:val="24"/>
                <w:szCs w:val="24"/>
              </w:rPr>
            </w:pPr>
            <w:r w:rsidRPr="00520D92">
              <w:rPr>
                <w:rFonts w:ascii="Times New Roman" w:hAnsi="Times New Roman"/>
                <w:iCs/>
                <w:sz w:val="24"/>
                <w:szCs w:val="24"/>
              </w:rPr>
              <w:t>Chairperson</w:t>
            </w:r>
          </w:p>
        </w:tc>
        <w:tc>
          <w:tcPr>
            <w:tcW w:w="6390" w:type="dxa"/>
          </w:tcPr>
          <w:p w14:paraId="46BDC403" w14:textId="77777777" w:rsidR="008D18CC" w:rsidRPr="00520D92" w:rsidRDefault="008D18CC" w:rsidP="005416A3">
            <w:pPr>
              <w:spacing w:after="0"/>
              <w:jc w:val="both"/>
              <w:rPr>
                <w:rFonts w:ascii="Times New Roman" w:hAnsi="Times New Roman"/>
                <w:sz w:val="24"/>
                <w:szCs w:val="24"/>
              </w:rPr>
            </w:pPr>
            <w:r w:rsidRPr="00520D92">
              <w:rPr>
                <w:rFonts w:ascii="Times New Roman" w:hAnsi="Times New Roman"/>
                <w:sz w:val="24"/>
                <w:szCs w:val="24"/>
              </w:rPr>
              <w:t xml:space="preserve">He has more than 20 </w:t>
            </w:r>
            <w:r>
              <w:rPr>
                <w:rFonts w:ascii="Times New Roman" w:hAnsi="Times New Roman"/>
                <w:sz w:val="24"/>
                <w:szCs w:val="24"/>
              </w:rPr>
              <w:t xml:space="preserve">(twenty) </w:t>
            </w:r>
            <w:r w:rsidRPr="00520D92">
              <w:rPr>
                <w:rFonts w:ascii="Times New Roman" w:hAnsi="Times New Roman"/>
                <w:sz w:val="24"/>
                <w:szCs w:val="24"/>
              </w:rPr>
              <w:t>experience years in managerial positions in field of finance, securities and investment.</w:t>
            </w:r>
          </w:p>
          <w:p w14:paraId="791580ED" w14:textId="77777777" w:rsidR="008D18CC" w:rsidRPr="00315A8E" w:rsidRDefault="008D18CC" w:rsidP="005416A3">
            <w:pPr>
              <w:spacing w:before="120" w:after="120"/>
              <w:jc w:val="both"/>
              <w:rPr>
                <w:rFonts w:ascii="Times New Roman" w:hAnsi="Times New Roman"/>
                <w:sz w:val="24"/>
                <w:szCs w:val="24"/>
              </w:rPr>
            </w:pPr>
            <w:r w:rsidRPr="00520D92">
              <w:rPr>
                <w:rFonts w:ascii="Times New Roman" w:hAnsi="Times New Roman"/>
                <w:sz w:val="24"/>
                <w:szCs w:val="24"/>
              </w:rPr>
              <w:t xml:space="preserve">He was the Chairman of Board Directors of Ho Chi Minh City Securities Corporation (HSC). He held position as Vice Chairman and General Director of Ho Chi Minh City Securities Corporation (HSC). Prior to joining HSC, he spent 4 </w:t>
            </w:r>
            <w:r>
              <w:rPr>
                <w:rFonts w:ascii="Times New Roman" w:hAnsi="Times New Roman"/>
                <w:sz w:val="24"/>
                <w:szCs w:val="24"/>
              </w:rPr>
              <w:t xml:space="preserve">(four) </w:t>
            </w:r>
            <w:r w:rsidRPr="00520D92">
              <w:rPr>
                <w:rFonts w:ascii="Times New Roman" w:hAnsi="Times New Roman"/>
                <w:sz w:val="24"/>
                <w:szCs w:val="24"/>
              </w:rPr>
              <w:t xml:space="preserve">years working as Fund Manager of HCMC Investment Fund for Urban Development (HIFU).   </w:t>
            </w:r>
          </w:p>
        </w:tc>
      </w:tr>
      <w:tr w:rsidR="008D18CC" w:rsidRPr="00315A8E" w14:paraId="7F9022A1" w14:textId="77777777" w:rsidTr="005416A3">
        <w:tc>
          <w:tcPr>
            <w:tcW w:w="2970" w:type="dxa"/>
          </w:tcPr>
          <w:p w14:paraId="1F787DE5" w14:textId="77777777" w:rsidR="008D18CC" w:rsidRPr="00520D92" w:rsidRDefault="008D18CC" w:rsidP="005416A3">
            <w:pPr>
              <w:spacing w:after="0"/>
              <w:jc w:val="both"/>
              <w:rPr>
                <w:rFonts w:ascii="Times New Roman" w:hAnsi="Times New Roman"/>
                <w:b/>
                <w:bCs/>
                <w:iCs/>
                <w:sz w:val="24"/>
                <w:szCs w:val="24"/>
              </w:rPr>
            </w:pPr>
            <w:proofErr w:type="spellStart"/>
            <w:r w:rsidRPr="00520D92">
              <w:rPr>
                <w:rFonts w:ascii="Times New Roman" w:hAnsi="Times New Roman"/>
                <w:b/>
                <w:bCs/>
                <w:iCs/>
                <w:sz w:val="24"/>
                <w:szCs w:val="24"/>
              </w:rPr>
              <w:t>Mr</w:t>
            </w:r>
            <w:proofErr w:type="spellEnd"/>
            <w:r w:rsidRPr="00520D92">
              <w:rPr>
                <w:rFonts w:ascii="Times New Roman" w:hAnsi="Times New Roman"/>
                <w:b/>
                <w:bCs/>
                <w:iCs/>
                <w:sz w:val="24"/>
                <w:szCs w:val="24"/>
              </w:rPr>
              <w:t xml:space="preserve"> Huynh Van Dung</w:t>
            </w:r>
          </w:p>
          <w:p w14:paraId="6C826FFD" w14:textId="77777777" w:rsidR="008D18CC" w:rsidRPr="008A3EA9" w:rsidRDefault="008D18CC" w:rsidP="005416A3">
            <w:pPr>
              <w:spacing w:before="120" w:after="120"/>
              <w:jc w:val="both"/>
              <w:rPr>
                <w:rFonts w:ascii="Times New Roman" w:hAnsi="Times New Roman"/>
                <w:bCs/>
                <w:sz w:val="24"/>
                <w:szCs w:val="24"/>
              </w:rPr>
            </w:pPr>
            <w:r w:rsidRPr="00520D92">
              <w:rPr>
                <w:rFonts w:ascii="Times New Roman" w:hAnsi="Times New Roman"/>
                <w:iCs/>
                <w:sz w:val="24"/>
                <w:szCs w:val="24"/>
              </w:rPr>
              <w:t>Member</w:t>
            </w:r>
          </w:p>
        </w:tc>
        <w:tc>
          <w:tcPr>
            <w:tcW w:w="6390" w:type="dxa"/>
          </w:tcPr>
          <w:p w14:paraId="630F26C8" w14:textId="77777777" w:rsidR="008D18CC" w:rsidRPr="00520D92" w:rsidRDefault="008D18CC" w:rsidP="005416A3">
            <w:pPr>
              <w:spacing w:after="0"/>
              <w:jc w:val="both"/>
              <w:rPr>
                <w:rFonts w:ascii="Times New Roman" w:hAnsi="Times New Roman"/>
                <w:sz w:val="24"/>
                <w:szCs w:val="24"/>
              </w:rPr>
            </w:pPr>
            <w:r w:rsidRPr="00520D92">
              <w:rPr>
                <w:rFonts w:ascii="Times New Roman" w:hAnsi="Times New Roman"/>
                <w:sz w:val="24"/>
                <w:szCs w:val="24"/>
              </w:rPr>
              <w:t>He has more than 20</w:t>
            </w:r>
            <w:r>
              <w:rPr>
                <w:rFonts w:ascii="Times New Roman" w:hAnsi="Times New Roman"/>
                <w:sz w:val="24"/>
                <w:szCs w:val="24"/>
              </w:rPr>
              <w:t xml:space="preserve"> (twenty)</w:t>
            </w:r>
            <w:r w:rsidRPr="00520D92">
              <w:rPr>
                <w:rFonts w:ascii="Times New Roman" w:hAnsi="Times New Roman"/>
                <w:sz w:val="24"/>
                <w:szCs w:val="24"/>
              </w:rPr>
              <w:t xml:space="preserve"> experience years working in the major of auditing and services in the field of auditing. </w:t>
            </w:r>
          </w:p>
          <w:p w14:paraId="574FB9D2" w14:textId="77777777" w:rsidR="008D18CC" w:rsidRPr="00520D92" w:rsidRDefault="008D18CC" w:rsidP="005416A3">
            <w:pPr>
              <w:spacing w:after="0"/>
              <w:jc w:val="both"/>
              <w:rPr>
                <w:rFonts w:ascii="Times New Roman" w:hAnsi="Times New Roman"/>
                <w:sz w:val="24"/>
                <w:szCs w:val="24"/>
              </w:rPr>
            </w:pPr>
            <w:r w:rsidRPr="00520D92">
              <w:rPr>
                <w:rFonts w:ascii="Times New Roman" w:hAnsi="Times New Roman"/>
                <w:sz w:val="24"/>
                <w:szCs w:val="24"/>
              </w:rPr>
              <w:t xml:space="preserve">He is currently Deputy General Director, Director of HCMC Branch of Vietnam Auditing and Evaluation Co., Ltd (VAE). He </w:t>
            </w:r>
            <w:r w:rsidRPr="00520D92">
              <w:rPr>
                <w:rFonts w:ascii="Times New Roman" w:hAnsi="Times New Roman"/>
                <w:sz w:val="24"/>
                <w:szCs w:val="24"/>
              </w:rPr>
              <w:lastRenderedPageBreak/>
              <w:t xml:space="preserve">held as Director of An Viet auditing company and team leader of senior auditors of VACO – Deloitte JV. </w:t>
            </w:r>
          </w:p>
          <w:p w14:paraId="28988E19" w14:textId="77777777" w:rsidR="008D18CC" w:rsidRPr="00315A8E" w:rsidRDefault="008D18CC" w:rsidP="005416A3">
            <w:pPr>
              <w:spacing w:before="120" w:after="120"/>
              <w:jc w:val="both"/>
              <w:rPr>
                <w:rFonts w:ascii="Times New Roman" w:hAnsi="Times New Roman"/>
                <w:sz w:val="24"/>
                <w:szCs w:val="24"/>
              </w:rPr>
            </w:pPr>
            <w:r w:rsidRPr="00520D92">
              <w:rPr>
                <w:rFonts w:ascii="Times New Roman" w:hAnsi="Times New Roman"/>
                <w:sz w:val="24"/>
                <w:szCs w:val="24"/>
              </w:rPr>
              <w:t>He has Certificate of CPA Vietnam, member of Vietnam Association of Certified Public Accountants (VACPA), member of Vietnam Association of Accountants and Auditors (VAA) and member of Vietnam Tax Consultants’ Association (VTCA).</w:t>
            </w:r>
          </w:p>
        </w:tc>
      </w:tr>
      <w:tr w:rsidR="008D18CC" w:rsidRPr="00315A8E" w14:paraId="0C009931" w14:textId="77777777" w:rsidTr="005416A3">
        <w:tc>
          <w:tcPr>
            <w:tcW w:w="2970" w:type="dxa"/>
          </w:tcPr>
          <w:p w14:paraId="578D7A9D" w14:textId="77777777" w:rsidR="008D18CC" w:rsidRPr="00520D92" w:rsidRDefault="008D18CC" w:rsidP="005416A3">
            <w:pPr>
              <w:spacing w:after="0"/>
              <w:ind w:left="-84"/>
              <w:jc w:val="both"/>
              <w:rPr>
                <w:rFonts w:ascii="Times New Roman" w:hAnsi="Times New Roman"/>
                <w:b/>
                <w:bCs/>
                <w:iCs/>
                <w:sz w:val="24"/>
                <w:szCs w:val="24"/>
              </w:rPr>
            </w:pPr>
            <w:proofErr w:type="spellStart"/>
            <w:r w:rsidRPr="00520D92">
              <w:rPr>
                <w:rFonts w:ascii="Times New Roman" w:hAnsi="Times New Roman"/>
                <w:b/>
                <w:bCs/>
                <w:iCs/>
                <w:sz w:val="24"/>
                <w:szCs w:val="24"/>
              </w:rPr>
              <w:lastRenderedPageBreak/>
              <w:t>Mr</w:t>
            </w:r>
            <w:proofErr w:type="spellEnd"/>
            <w:r w:rsidRPr="00520D92">
              <w:rPr>
                <w:rFonts w:ascii="Times New Roman" w:hAnsi="Times New Roman"/>
                <w:b/>
                <w:bCs/>
                <w:iCs/>
                <w:sz w:val="24"/>
                <w:szCs w:val="24"/>
              </w:rPr>
              <w:t xml:space="preserve"> Nguyen Gia Huy Chuong</w:t>
            </w:r>
          </w:p>
          <w:p w14:paraId="69A5CA40" w14:textId="77777777" w:rsidR="008D18CC" w:rsidRPr="00520D92" w:rsidRDefault="008D18CC" w:rsidP="005416A3">
            <w:pPr>
              <w:spacing w:after="0"/>
              <w:ind w:left="-84"/>
              <w:jc w:val="both"/>
              <w:rPr>
                <w:rFonts w:ascii="Times New Roman" w:hAnsi="Times New Roman"/>
                <w:iCs/>
                <w:sz w:val="24"/>
                <w:szCs w:val="24"/>
              </w:rPr>
            </w:pPr>
            <w:r w:rsidRPr="00520D92">
              <w:rPr>
                <w:rFonts w:ascii="Times New Roman" w:hAnsi="Times New Roman"/>
                <w:iCs/>
                <w:sz w:val="24"/>
                <w:szCs w:val="24"/>
              </w:rPr>
              <w:t>Member</w:t>
            </w:r>
          </w:p>
          <w:p w14:paraId="184CE4B3" w14:textId="77777777" w:rsidR="008D18CC" w:rsidRPr="00315A8E" w:rsidRDefault="008D18CC" w:rsidP="005416A3">
            <w:pPr>
              <w:spacing w:before="120" w:after="120"/>
              <w:jc w:val="both"/>
              <w:rPr>
                <w:rFonts w:ascii="Times New Roman" w:hAnsi="Times New Roman"/>
                <w:sz w:val="24"/>
                <w:szCs w:val="24"/>
              </w:rPr>
            </w:pPr>
          </w:p>
        </w:tc>
        <w:tc>
          <w:tcPr>
            <w:tcW w:w="6390" w:type="dxa"/>
          </w:tcPr>
          <w:p w14:paraId="58EE6CA2" w14:textId="77777777" w:rsidR="008D18CC" w:rsidRPr="00520D92" w:rsidRDefault="008D18CC" w:rsidP="005416A3">
            <w:pPr>
              <w:spacing w:after="0"/>
              <w:jc w:val="both"/>
              <w:rPr>
                <w:rFonts w:ascii="Times New Roman" w:hAnsi="Times New Roman"/>
                <w:sz w:val="24"/>
                <w:szCs w:val="24"/>
              </w:rPr>
            </w:pPr>
            <w:r w:rsidRPr="00520D92">
              <w:rPr>
                <w:rFonts w:ascii="Times New Roman" w:hAnsi="Times New Roman"/>
                <w:sz w:val="24"/>
                <w:szCs w:val="24"/>
              </w:rPr>
              <w:t>He has 20</w:t>
            </w:r>
            <w:r>
              <w:rPr>
                <w:rFonts w:ascii="Times New Roman" w:hAnsi="Times New Roman"/>
                <w:sz w:val="24"/>
                <w:szCs w:val="24"/>
              </w:rPr>
              <w:t xml:space="preserve"> (twenty)</w:t>
            </w:r>
            <w:r w:rsidRPr="00520D92">
              <w:rPr>
                <w:rFonts w:ascii="Times New Roman" w:hAnsi="Times New Roman"/>
                <w:sz w:val="24"/>
                <w:szCs w:val="24"/>
              </w:rPr>
              <w:t xml:space="preserve"> years of experience in corporate consulting, tax and real estate advisory. His work has primarily been in the areas of corporate consultancy, mergers and acquisitions, and spanning most industry sectors: real estate, hospitality, construction, fintech, family health care, food &amp; beverage (F&amp;B), port management, transport and telecommunications.</w:t>
            </w:r>
          </w:p>
          <w:p w14:paraId="4DCA793D" w14:textId="77777777" w:rsidR="008D18CC" w:rsidRPr="00520D92" w:rsidRDefault="008D18CC" w:rsidP="005416A3">
            <w:pPr>
              <w:spacing w:after="0"/>
              <w:jc w:val="both"/>
              <w:rPr>
                <w:rFonts w:ascii="Times New Roman" w:hAnsi="Times New Roman"/>
                <w:sz w:val="24"/>
                <w:szCs w:val="24"/>
              </w:rPr>
            </w:pPr>
            <w:r w:rsidRPr="00520D92">
              <w:rPr>
                <w:rFonts w:ascii="Times New Roman" w:hAnsi="Times New Roman"/>
                <w:sz w:val="24"/>
                <w:szCs w:val="24"/>
              </w:rPr>
              <w:t xml:space="preserve">Currently, he is acting as the Managing Partner of GV Lawyers, an international law firm lately established by a group of dedicated and experienced lawyers who have started and advanced their careers with the most prominent law firms in Viet Nam, the latest one in the list being Phuoc &amp; Partners. He has </w:t>
            </w:r>
            <w:r>
              <w:rPr>
                <w:rFonts w:ascii="Times New Roman" w:hAnsi="Times New Roman"/>
                <w:sz w:val="24"/>
                <w:szCs w:val="24"/>
              </w:rPr>
              <w:t>12</w:t>
            </w:r>
            <w:r w:rsidRPr="00520D92">
              <w:rPr>
                <w:rFonts w:ascii="Times New Roman" w:hAnsi="Times New Roman"/>
                <w:sz w:val="24"/>
                <w:szCs w:val="24"/>
              </w:rPr>
              <w:t xml:space="preserve"> consecutive years acting as the director and managing partner of Phuoc &amp; Partners.</w:t>
            </w:r>
          </w:p>
          <w:p w14:paraId="6B99F2B2" w14:textId="77777777" w:rsidR="008D18CC" w:rsidRPr="00315A8E" w:rsidRDefault="008D18CC" w:rsidP="005416A3">
            <w:pPr>
              <w:spacing w:before="120" w:after="120"/>
              <w:jc w:val="both"/>
              <w:rPr>
                <w:rFonts w:ascii="Times New Roman" w:hAnsi="Times New Roman"/>
                <w:sz w:val="24"/>
                <w:szCs w:val="24"/>
              </w:rPr>
            </w:pPr>
            <w:r w:rsidRPr="00520D92">
              <w:rPr>
                <w:rFonts w:ascii="Times New Roman" w:hAnsi="Times New Roman"/>
                <w:sz w:val="24"/>
                <w:szCs w:val="24"/>
              </w:rPr>
              <w:t>He has Master of Law majored in International Trade Law</w:t>
            </w:r>
            <w:r w:rsidRPr="00520D92" w:rsidDel="00085F98">
              <w:rPr>
                <w:rFonts w:ascii="Times New Roman" w:hAnsi="Times New Roman"/>
                <w:sz w:val="24"/>
                <w:szCs w:val="24"/>
              </w:rPr>
              <w:t xml:space="preserve"> </w:t>
            </w:r>
            <w:r w:rsidRPr="00520D92">
              <w:rPr>
                <w:rFonts w:ascii="Times New Roman" w:hAnsi="Times New Roman"/>
                <w:sz w:val="24"/>
                <w:szCs w:val="24"/>
              </w:rPr>
              <w:t>in the Bristol Law School – the UWE Bristol, UK; member of the Bar Association of Ho Chi Minh City</w:t>
            </w:r>
            <w:r>
              <w:rPr>
                <w:rFonts w:ascii="Times New Roman" w:hAnsi="Times New Roman"/>
                <w:sz w:val="24"/>
                <w:szCs w:val="24"/>
              </w:rPr>
              <w:t>, Vietnam</w:t>
            </w:r>
            <w:r w:rsidRPr="00520D92">
              <w:rPr>
                <w:rFonts w:ascii="Times New Roman" w:hAnsi="Times New Roman"/>
                <w:sz w:val="24"/>
                <w:szCs w:val="24"/>
              </w:rPr>
              <w:t>;</w:t>
            </w:r>
            <w:r>
              <w:rPr>
                <w:rFonts w:ascii="Times New Roman" w:hAnsi="Times New Roman"/>
                <w:sz w:val="24"/>
                <w:szCs w:val="24"/>
              </w:rPr>
              <w:t xml:space="preserve"> member of the Law Association for Asia and the Pacific</w:t>
            </w:r>
            <w:r w:rsidRPr="00520D92">
              <w:rPr>
                <w:rFonts w:ascii="Times New Roman" w:hAnsi="Times New Roman"/>
                <w:sz w:val="24"/>
                <w:szCs w:val="24"/>
              </w:rPr>
              <w:t>.</w:t>
            </w:r>
          </w:p>
        </w:tc>
      </w:tr>
    </w:tbl>
    <w:p w14:paraId="0B24B535" w14:textId="45E7BF17" w:rsidR="00394460" w:rsidRPr="00315A8E" w:rsidRDefault="00432AB9" w:rsidP="000B0C18">
      <w:pPr>
        <w:tabs>
          <w:tab w:val="left" w:pos="540"/>
        </w:tabs>
        <w:spacing w:before="120"/>
        <w:jc w:val="right"/>
        <w:rPr>
          <w:rFonts w:ascii="Times New Roman" w:eastAsia="Times New Roman" w:hAnsi="Times New Roman"/>
          <w:i/>
          <w:sz w:val="24"/>
          <w:szCs w:val="24"/>
          <w:lang w:val="nl-NL"/>
        </w:rPr>
      </w:pPr>
      <w:r>
        <w:rPr>
          <w:rFonts w:ascii="Times New Roman" w:eastAsia="Times New Roman" w:hAnsi="Times New Roman"/>
          <w:i/>
          <w:sz w:val="24"/>
          <w:szCs w:val="24"/>
          <w:lang w:val="nl-NL"/>
        </w:rPr>
        <w:t>Ho Chi Minh City</w:t>
      </w:r>
      <w:r w:rsidR="00394460" w:rsidRPr="00315A8E">
        <w:rPr>
          <w:rFonts w:ascii="Times New Roman" w:eastAsia="Times New Roman" w:hAnsi="Times New Roman"/>
          <w:i/>
          <w:sz w:val="24"/>
          <w:szCs w:val="24"/>
          <w:lang w:val="nl-NL"/>
        </w:rPr>
        <w:t xml:space="preserve">, </w:t>
      </w:r>
      <w:r w:rsidR="00A35427">
        <w:rPr>
          <w:rFonts w:ascii="Times New Roman" w:eastAsia="Times New Roman" w:hAnsi="Times New Roman"/>
          <w:i/>
          <w:sz w:val="24"/>
          <w:szCs w:val="24"/>
          <w:lang w:val="nl-NL"/>
        </w:rPr>
        <w:t>14 Jan</w:t>
      </w:r>
      <w:r>
        <w:rPr>
          <w:rFonts w:ascii="Times New Roman" w:eastAsia="Times New Roman" w:hAnsi="Times New Roman"/>
          <w:i/>
          <w:sz w:val="24"/>
          <w:szCs w:val="24"/>
          <w:lang w:val="nl-NL"/>
        </w:rPr>
        <w:t xml:space="preserve"> 20</w:t>
      </w:r>
      <w:r w:rsidR="00843125">
        <w:rPr>
          <w:rFonts w:ascii="Times New Roman" w:eastAsia="Times New Roman" w:hAnsi="Times New Roman"/>
          <w:i/>
          <w:sz w:val="24"/>
          <w:szCs w:val="24"/>
          <w:lang w:val="nl-NL"/>
        </w:rPr>
        <w:t>2</w:t>
      </w:r>
      <w:r w:rsidR="00A35427">
        <w:rPr>
          <w:rFonts w:ascii="Times New Roman" w:eastAsia="Times New Roman" w:hAnsi="Times New Roman"/>
          <w:i/>
          <w:sz w:val="24"/>
          <w:szCs w:val="24"/>
          <w:lang w:val="nl-NL"/>
        </w:rPr>
        <w:t>5</w:t>
      </w:r>
    </w:p>
    <w:p w14:paraId="28D9C0EF" w14:textId="49CCF67B" w:rsidR="00394460" w:rsidRPr="00315A8E" w:rsidRDefault="00432AB9" w:rsidP="000B0C18">
      <w:pPr>
        <w:tabs>
          <w:tab w:val="left" w:pos="540"/>
        </w:tabs>
        <w:spacing w:before="120"/>
        <w:jc w:val="right"/>
        <w:rPr>
          <w:rFonts w:ascii="Times New Roman" w:eastAsia="Times New Roman" w:hAnsi="Times New Roman"/>
          <w:b/>
          <w:sz w:val="24"/>
          <w:szCs w:val="24"/>
          <w:lang w:val="nl-NL"/>
        </w:rPr>
      </w:pPr>
      <w:r>
        <w:rPr>
          <w:rFonts w:ascii="Times New Roman" w:eastAsia="Times New Roman" w:hAnsi="Times New Roman"/>
          <w:b/>
          <w:sz w:val="24"/>
          <w:szCs w:val="24"/>
          <w:lang w:val="nl-NL"/>
        </w:rPr>
        <w:t>DA-ICHI LIFE VIETNAM FUND MANAGEMENT COMPANY LIMITED</w:t>
      </w:r>
    </w:p>
    <w:p w14:paraId="267E0104" w14:textId="254C3241" w:rsidR="00B10F95" w:rsidRDefault="00394460" w:rsidP="000B0C18">
      <w:pPr>
        <w:tabs>
          <w:tab w:val="left" w:pos="540"/>
        </w:tabs>
        <w:spacing w:before="120"/>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p>
    <w:p w14:paraId="77309C49" w14:textId="77777777" w:rsidR="00BF240F" w:rsidRDefault="00BF240F" w:rsidP="000B0C18">
      <w:pPr>
        <w:tabs>
          <w:tab w:val="left" w:pos="540"/>
        </w:tabs>
        <w:spacing w:before="120"/>
        <w:jc w:val="both"/>
        <w:rPr>
          <w:rFonts w:ascii="Times New Roman" w:eastAsia="Times New Roman" w:hAnsi="Times New Roman"/>
          <w:b/>
          <w:sz w:val="24"/>
          <w:szCs w:val="24"/>
          <w:lang w:val="nl-NL"/>
        </w:rPr>
      </w:pPr>
    </w:p>
    <w:p w14:paraId="46A20C0C" w14:textId="77777777" w:rsidR="008731A7" w:rsidRPr="00315A8E" w:rsidRDefault="008731A7" w:rsidP="000B0C18">
      <w:pPr>
        <w:tabs>
          <w:tab w:val="left" w:pos="540"/>
        </w:tabs>
        <w:spacing w:before="120"/>
        <w:jc w:val="both"/>
        <w:rPr>
          <w:rFonts w:ascii="Times New Roman" w:eastAsia="Times New Roman" w:hAnsi="Times New Roman"/>
          <w:b/>
          <w:sz w:val="24"/>
          <w:szCs w:val="24"/>
          <w:lang w:val="nl-NL"/>
        </w:rPr>
      </w:pPr>
    </w:p>
    <w:p w14:paraId="21D541B1" w14:textId="1898098A" w:rsidR="00394460" w:rsidRPr="00315A8E" w:rsidRDefault="00394460" w:rsidP="000B0C18">
      <w:pPr>
        <w:tabs>
          <w:tab w:val="left" w:pos="540"/>
        </w:tabs>
        <w:spacing w:before="120"/>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 xml:space="preserve">          </w:t>
      </w:r>
      <w:r w:rsidRPr="00315A8E">
        <w:rPr>
          <w:rFonts w:ascii="Times New Roman" w:eastAsia="Times New Roman" w:hAnsi="Times New Roman"/>
          <w:b/>
          <w:sz w:val="24"/>
          <w:szCs w:val="24"/>
          <w:lang w:val="nl-NL"/>
        </w:rPr>
        <w:t>Tr</w:t>
      </w:r>
      <w:r w:rsidR="00861E47">
        <w:rPr>
          <w:rFonts w:ascii="Times New Roman" w:eastAsia="Times New Roman" w:hAnsi="Times New Roman"/>
          <w:b/>
          <w:sz w:val="24"/>
          <w:szCs w:val="24"/>
          <w:lang w:val="nl-NL"/>
        </w:rPr>
        <w:t>an Chau Danh</w:t>
      </w:r>
    </w:p>
    <w:p w14:paraId="56244881" w14:textId="74C325F3" w:rsidR="00C22CE1" w:rsidRDefault="00394460" w:rsidP="000B0C18">
      <w:pPr>
        <w:tabs>
          <w:tab w:val="left" w:pos="540"/>
        </w:tabs>
        <w:spacing w:before="120"/>
        <w:jc w:val="both"/>
        <w:rPr>
          <w:rFonts w:ascii="Times New Roman" w:eastAsia="Times New Roman" w:hAnsi="Times New Roman"/>
          <w:b/>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ab/>
      </w:r>
      <w:r w:rsidR="00315A8E" w:rsidRPr="008731A7">
        <w:rPr>
          <w:rFonts w:ascii="Times New Roman" w:eastAsia="Times New Roman" w:hAnsi="Times New Roman"/>
          <w:b/>
          <w:lang w:val="nl-NL"/>
        </w:rPr>
        <w:t xml:space="preserve">        </w:t>
      </w:r>
      <w:r w:rsidR="008731A7">
        <w:rPr>
          <w:rFonts w:ascii="Times New Roman" w:eastAsia="Times New Roman" w:hAnsi="Times New Roman"/>
          <w:b/>
          <w:lang w:val="nl-NL"/>
        </w:rPr>
        <w:t xml:space="preserve">  </w:t>
      </w:r>
      <w:r w:rsidR="00432AB9">
        <w:rPr>
          <w:rFonts w:ascii="Times New Roman" w:eastAsia="Times New Roman" w:hAnsi="Times New Roman"/>
          <w:b/>
          <w:lang w:val="nl-NL"/>
        </w:rPr>
        <w:t>Chief Excutive Officer</w:t>
      </w:r>
    </w:p>
    <w:p w14:paraId="63CF00D7" w14:textId="17602833" w:rsidR="00C22CE1" w:rsidRDefault="00C22CE1" w:rsidP="000B0C18">
      <w:pPr>
        <w:tabs>
          <w:tab w:val="left" w:pos="540"/>
        </w:tabs>
        <w:spacing w:before="120"/>
        <w:jc w:val="both"/>
        <w:rPr>
          <w:rFonts w:ascii="Times New Roman" w:eastAsia="Times New Roman" w:hAnsi="Times New Roman"/>
          <w:b/>
          <w:lang w:val="nl-NL"/>
        </w:rPr>
      </w:pPr>
    </w:p>
    <w:p w14:paraId="5EF2FC2D" w14:textId="2AC12769" w:rsidR="00C22CE1" w:rsidRDefault="00C22CE1" w:rsidP="000B0C18">
      <w:pPr>
        <w:tabs>
          <w:tab w:val="left" w:pos="540"/>
        </w:tabs>
        <w:spacing w:before="120"/>
        <w:jc w:val="both"/>
        <w:rPr>
          <w:rFonts w:ascii="Times New Roman" w:eastAsia="Times New Roman" w:hAnsi="Times New Roman"/>
          <w:b/>
          <w:lang w:val="nl-NL"/>
        </w:rPr>
      </w:pPr>
    </w:p>
    <w:p w14:paraId="4F11B18C" w14:textId="74D52FDB" w:rsidR="00C22CE1" w:rsidRDefault="00C22CE1" w:rsidP="000B0C18">
      <w:pPr>
        <w:tabs>
          <w:tab w:val="left" w:pos="540"/>
        </w:tabs>
        <w:spacing w:before="120"/>
        <w:jc w:val="both"/>
        <w:rPr>
          <w:rFonts w:ascii="Times New Roman" w:eastAsia="Times New Roman" w:hAnsi="Times New Roman"/>
          <w:b/>
          <w:lang w:val="nl-NL"/>
        </w:rPr>
      </w:pPr>
    </w:p>
    <w:p w14:paraId="0ECD1F93" w14:textId="6E40FB41" w:rsidR="00C22CE1" w:rsidRDefault="00C22CE1" w:rsidP="000B0C18">
      <w:pPr>
        <w:tabs>
          <w:tab w:val="left" w:pos="540"/>
        </w:tabs>
        <w:spacing w:before="120"/>
        <w:jc w:val="both"/>
        <w:rPr>
          <w:rFonts w:ascii="Times New Roman" w:eastAsia="Times New Roman" w:hAnsi="Times New Roman"/>
          <w:b/>
          <w:lang w:val="nl-NL"/>
        </w:rPr>
      </w:pPr>
    </w:p>
    <w:sectPr w:rsidR="00C22CE1"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C34"/>
    <w:multiLevelType w:val="hybridMultilevel"/>
    <w:tmpl w:val="A1BE9E84"/>
    <w:lvl w:ilvl="0" w:tplc="4D28699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E954D1"/>
    <w:multiLevelType w:val="hybridMultilevel"/>
    <w:tmpl w:val="AB789AB0"/>
    <w:lvl w:ilvl="0" w:tplc="332CA0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6496"/>
    <w:multiLevelType w:val="hybridMultilevel"/>
    <w:tmpl w:val="4DF6260E"/>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8"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DE218D"/>
    <w:multiLevelType w:val="hybridMultilevel"/>
    <w:tmpl w:val="9B823C7C"/>
    <w:lvl w:ilvl="0" w:tplc="9790FC28">
      <w:start w:val="1"/>
      <w:numFmt w:val="bullet"/>
      <w:lvlText w:val="-"/>
      <w:lvlJc w:val="left"/>
      <w:pPr>
        <w:ind w:left="1448" w:hanging="360"/>
      </w:pPr>
      <w:rPr>
        <w:rFonts w:ascii="Arial" w:eastAsia="Calibri" w:hAnsi="Arial" w:cs="Aria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35322"/>
    <w:multiLevelType w:val="multilevel"/>
    <w:tmpl w:val="105E69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2E4F5E"/>
    <w:multiLevelType w:val="hybridMultilevel"/>
    <w:tmpl w:val="3540450E"/>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14F12"/>
    <w:multiLevelType w:val="hybridMultilevel"/>
    <w:tmpl w:val="9140DF22"/>
    <w:lvl w:ilvl="0" w:tplc="081C63F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825FDD"/>
    <w:multiLevelType w:val="hybridMultilevel"/>
    <w:tmpl w:val="94A4E352"/>
    <w:lvl w:ilvl="0" w:tplc="58A885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397624">
    <w:abstractNumId w:val="8"/>
  </w:num>
  <w:num w:numId="2" w16cid:durableId="1655142893">
    <w:abstractNumId w:val="6"/>
  </w:num>
  <w:num w:numId="3" w16cid:durableId="1506478184">
    <w:abstractNumId w:val="1"/>
  </w:num>
  <w:num w:numId="4" w16cid:durableId="1850480597">
    <w:abstractNumId w:val="17"/>
  </w:num>
  <w:num w:numId="5" w16cid:durableId="1765613200">
    <w:abstractNumId w:val="16"/>
  </w:num>
  <w:num w:numId="6" w16cid:durableId="666325161">
    <w:abstractNumId w:val="3"/>
  </w:num>
  <w:num w:numId="7" w16cid:durableId="1406369086">
    <w:abstractNumId w:val="12"/>
  </w:num>
  <w:num w:numId="8" w16cid:durableId="1731920527">
    <w:abstractNumId w:val="11"/>
  </w:num>
  <w:num w:numId="9" w16cid:durableId="792360275">
    <w:abstractNumId w:val="9"/>
  </w:num>
  <w:num w:numId="10" w16cid:durableId="1102191485">
    <w:abstractNumId w:val="5"/>
  </w:num>
  <w:num w:numId="11" w16cid:durableId="1905481300">
    <w:abstractNumId w:val="15"/>
  </w:num>
  <w:num w:numId="12" w16cid:durableId="2026053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256228">
    <w:abstractNumId w:val="7"/>
  </w:num>
  <w:num w:numId="14" w16cid:durableId="268585306">
    <w:abstractNumId w:val="10"/>
  </w:num>
  <w:num w:numId="15" w16cid:durableId="945040783">
    <w:abstractNumId w:val="0"/>
  </w:num>
  <w:num w:numId="16" w16cid:durableId="634405997">
    <w:abstractNumId w:val="13"/>
  </w:num>
  <w:num w:numId="17" w16cid:durableId="418646220">
    <w:abstractNumId w:val="4"/>
  </w:num>
  <w:num w:numId="18" w16cid:durableId="1307466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6EE6"/>
    <w:rsid w:val="000122D9"/>
    <w:rsid w:val="00062055"/>
    <w:rsid w:val="00085F98"/>
    <w:rsid w:val="00087AE7"/>
    <w:rsid w:val="00091CAB"/>
    <w:rsid w:val="000B0C18"/>
    <w:rsid w:val="000B6C5E"/>
    <w:rsid w:val="000C4474"/>
    <w:rsid w:val="000D11A0"/>
    <w:rsid w:val="000D3A01"/>
    <w:rsid w:val="000E0CD4"/>
    <w:rsid w:val="000E5FE9"/>
    <w:rsid w:val="000F601D"/>
    <w:rsid w:val="00115F9B"/>
    <w:rsid w:val="00135E6C"/>
    <w:rsid w:val="00151BC4"/>
    <w:rsid w:val="001A2481"/>
    <w:rsid w:val="001A3F4D"/>
    <w:rsid w:val="001A485F"/>
    <w:rsid w:val="001B784B"/>
    <w:rsid w:val="001C4F41"/>
    <w:rsid w:val="001D16D3"/>
    <w:rsid w:val="001D3243"/>
    <w:rsid w:val="001D49A9"/>
    <w:rsid w:val="001D4F8F"/>
    <w:rsid w:val="001E4811"/>
    <w:rsid w:val="001F38F2"/>
    <w:rsid w:val="00206765"/>
    <w:rsid w:val="00215036"/>
    <w:rsid w:val="00220EA1"/>
    <w:rsid w:val="002243DA"/>
    <w:rsid w:val="00235847"/>
    <w:rsid w:val="00250001"/>
    <w:rsid w:val="002576DB"/>
    <w:rsid w:val="002841FF"/>
    <w:rsid w:val="002A14C7"/>
    <w:rsid w:val="002C4B4A"/>
    <w:rsid w:val="002D4C06"/>
    <w:rsid w:val="002E5E13"/>
    <w:rsid w:val="002F008C"/>
    <w:rsid w:val="002F0724"/>
    <w:rsid w:val="002F6454"/>
    <w:rsid w:val="00315A8E"/>
    <w:rsid w:val="00324B82"/>
    <w:rsid w:val="00332E06"/>
    <w:rsid w:val="003609F5"/>
    <w:rsid w:val="0037699B"/>
    <w:rsid w:val="003875D1"/>
    <w:rsid w:val="00394460"/>
    <w:rsid w:val="003A4D71"/>
    <w:rsid w:val="003B07B0"/>
    <w:rsid w:val="003B2F3B"/>
    <w:rsid w:val="003D42C3"/>
    <w:rsid w:val="003D4E52"/>
    <w:rsid w:val="003E3D5C"/>
    <w:rsid w:val="003F0B3B"/>
    <w:rsid w:val="0040080D"/>
    <w:rsid w:val="00413420"/>
    <w:rsid w:val="00420BBF"/>
    <w:rsid w:val="00432AB9"/>
    <w:rsid w:val="00432F30"/>
    <w:rsid w:val="004425D8"/>
    <w:rsid w:val="00451C1C"/>
    <w:rsid w:val="004532C3"/>
    <w:rsid w:val="00455789"/>
    <w:rsid w:val="0046119D"/>
    <w:rsid w:val="00472D84"/>
    <w:rsid w:val="00494F7E"/>
    <w:rsid w:val="004C1C00"/>
    <w:rsid w:val="004C7EEE"/>
    <w:rsid w:val="004C7F20"/>
    <w:rsid w:val="004E41BD"/>
    <w:rsid w:val="004F37D9"/>
    <w:rsid w:val="00520249"/>
    <w:rsid w:val="0052162A"/>
    <w:rsid w:val="00524F6F"/>
    <w:rsid w:val="00536BF6"/>
    <w:rsid w:val="0053737B"/>
    <w:rsid w:val="00540CE4"/>
    <w:rsid w:val="00551946"/>
    <w:rsid w:val="00551DCB"/>
    <w:rsid w:val="005A265A"/>
    <w:rsid w:val="005B376A"/>
    <w:rsid w:val="005C1F75"/>
    <w:rsid w:val="005E4081"/>
    <w:rsid w:val="005E549F"/>
    <w:rsid w:val="005F16E8"/>
    <w:rsid w:val="005F188A"/>
    <w:rsid w:val="006321E7"/>
    <w:rsid w:val="00647854"/>
    <w:rsid w:val="00664C68"/>
    <w:rsid w:val="006770DB"/>
    <w:rsid w:val="006902A3"/>
    <w:rsid w:val="00695E68"/>
    <w:rsid w:val="006A418A"/>
    <w:rsid w:val="006A4A33"/>
    <w:rsid w:val="006C0F80"/>
    <w:rsid w:val="006C7124"/>
    <w:rsid w:val="006E5EBB"/>
    <w:rsid w:val="006E6210"/>
    <w:rsid w:val="00713CC7"/>
    <w:rsid w:val="007333FF"/>
    <w:rsid w:val="00741B8C"/>
    <w:rsid w:val="00746FFE"/>
    <w:rsid w:val="00756A76"/>
    <w:rsid w:val="00762CC5"/>
    <w:rsid w:val="00763691"/>
    <w:rsid w:val="007833B2"/>
    <w:rsid w:val="007B289D"/>
    <w:rsid w:val="007B2C0D"/>
    <w:rsid w:val="007C5B05"/>
    <w:rsid w:val="007D4EAB"/>
    <w:rsid w:val="007D78F7"/>
    <w:rsid w:val="00804BBD"/>
    <w:rsid w:val="00810914"/>
    <w:rsid w:val="00816829"/>
    <w:rsid w:val="00830EAF"/>
    <w:rsid w:val="0083372E"/>
    <w:rsid w:val="0083709C"/>
    <w:rsid w:val="00843125"/>
    <w:rsid w:val="00860A96"/>
    <w:rsid w:val="00861E47"/>
    <w:rsid w:val="008707C6"/>
    <w:rsid w:val="008731A7"/>
    <w:rsid w:val="008939A1"/>
    <w:rsid w:val="00893D4C"/>
    <w:rsid w:val="008971AB"/>
    <w:rsid w:val="008A3EA9"/>
    <w:rsid w:val="008C00F0"/>
    <w:rsid w:val="008D18CC"/>
    <w:rsid w:val="008D629B"/>
    <w:rsid w:val="008E4959"/>
    <w:rsid w:val="008E75CF"/>
    <w:rsid w:val="008F2B2D"/>
    <w:rsid w:val="008F3818"/>
    <w:rsid w:val="009057C3"/>
    <w:rsid w:val="009128FF"/>
    <w:rsid w:val="00912E19"/>
    <w:rsid w:val="00917711"/>
    <w:rsid w:val="00932F86"/>
    <w:rsid w:val="0093357C"/>
    <w:rsid w:val="00956BA5"/>
    <w:rsid w:val="00961496"/>
    <w:rsid w:val="0096793F"/>
    <w:rsid w:val="00975C3F"/>
    <w:rsid w:val="00981C04"/>
    <w:rsid w:val="00985B28"/>
    <w:rsid w:val="009C5637"/>
    <w:rsid w:val="009D7171"/>
    <w:rsid w:val="009E4B9A"/>
    <w:rsid w:val="009F20A0"/>
    <w:rsid w:val="00A03A70"/>
    <w:rsid w:val="00A35427"/>
    <w:rsid w:val="00A52DE0"/>
    <w:rsid w:val="00A70607"/>
    <w:rsid w:val="00A85A99"/>
    <w:rsid w:val="00AA40C7"/>
    <w:rsid w:val="00AC398E"/>
    <w:rsid w:val="00AD411A"/>
    <w:rsid w:val="00B00350"/>
    <w:rsid w:val="00B0433F"/>
    <w:rsid w:val="00B10F95"/>
    <w:rsid w:val="00B4574B"/>
    <w:rsid w:val="00B45921"/>
    <w:rsid w:val="00B62E0D"/>
    <w:rsid w:val="00B92438"/>
    <w:rsid w:val="00B94F29"/>
    <w:rsid w:val="00B97A31"/>
    <w:rsid w:val="00B97B26"/>
    <w:rsid w:val="00BA7868"/>
    <w:rsid w:val="00BB6F03"/>
    <w:rsid w:val="00BC15EA"/>
    <w:rsid w:val="00BC5F3F"/>
    <w:rsid w:val="00BD079F"/>
    <w:rsid w:val="00BE1598"/>
    <w:rsid w:val="00BE62E2"/>
    <w:rsid w:val="00BE6F63"/>
    <w:rsid w:val="00BF240F"/>
    <w:rsid w:val="00BF44CF"/>
    <w:rsid w:val="00C002FB"/>
    <w:rsid w:val="00C22CE1"/>
    <w:rsid w:val="00C42FBE"/>
    <w:rsid w:val="00C5103F"/>
    <w:rsid w:val="00C6501E"/>
    <w:rsid w:val="00C84F63"/>
    <w:rsid w:val="00CA76CF"/>
    <w:rsid w:val="00D135E8"/>
    <w:rsid w:val="00D157D6"/>
    <w:rsid w:val="00D257CD"/>
    <w:rsid w:val="00D26F4E"/>
    <w:rsid w:val="00D34E5B"/>
    <w:rsid w:val="00D85C46"/>
    <w:rsid w:val="00DA30AE"/>
    <w:rsid w:val="00DB1E58"/>
    <w:rsid w:val="00DC1FD1"/>
    <w:rsid w:val="00DD3C3F"/>
    <w:rsid w:val="00DD5013"/>
    <w:rsid w:val="00DE7314"/>
    <w:rsid w:val="00E0018A"/>
    <w:rsid w:val="00E01AA8"/>
    <w:rsid w:val="00E07F3E"/>
    <w:rsid w:val="00E26961"/>
    <w:rsid w:val="00E30920"/>
    <w:rsid w:val="00E32BB9"/>
    <w:rsid w:val="00E53446"/>
    <w:rsid w:val="00E86FE6"/>
    <w:rsid w:val="00E92263"/>
    <w:rsid w:val="00E93666"/>
    <w:rsid w:val="00EA03A4"/>
    <w:rsid w:val="00EA34DF"/>
    <w:rsid w:val="00EA7970"/>
    <w:rsid w:val="00F21EFB"/>
    <w:rsid w:val="00F4662C"/>
    <w:rsid w:val="00F638C1"/>
    <w:rsid w:val="00F72260"/>
    <w:rsid w:val="00F92879"/>
    <w:rsid w:val="00FB564D"/>
    <w:rsid w:val="00FB7B6E"/>
    <w:rsid w:val="00FC0AEE"/>
    <w:rsid w:val="00FC1847"/>
    <w:rsid w:val="00FC1852"/>
    <w:rsid w:val="00FC5663"/>
    <w:rsid w:val="00FE5BD2"/>
    <w:rsid w:val="00FF0271"/>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link w:val="ListParagraphChar"/>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character" w:styleId="Hyperlink">
    <w:name w:val="Hyperlink"/>
    <w:basedOn w:val="DefaultParagraphFont"/>
    <w:uiPriority w:val="99"/>
    <w:semiHidden/>
    <w:unhideWhenUsed/>
    <w:rsid w:val="00C22CE1"/>
    <w:rPr>
      <w:color w:val="0563C1"/>
      <w:u w:val="single"/>
    </w:rPr>
  </w:style>
  <w:style w:type="character" w:customStyle="1" w:styleId="ListParagraphChar">
    <w:name w:val="List Paragraph Char"/>
    <w:aliases w:val="Top headings Char"/>
    <w:link w:val="ListParagraph"/>
    <w:uiPriority w:val="34"/>
    <w:locked/>
    <w:rsid w:val="004C7EEE"/>
    <w:rPr>
      <w:rFonts w:ascii="Calibri" w:eastAsia="Calibri" w:hAnsi="Calibri" w:cs="Times New Roman"/>
    </w:rPr>
  </w:style>
  <w:style w:type="paragraph" w:styleId="BodyText2">
    <w:name w:val="Body Text 2"/>
    <w:basedOn w:val="Normal"/>
    <w:link w:val="BodyText2Char"/>
    <w:rsid w:val="004C7EEE"/>
    <w:pPr>
      <w:spacing w:after="0" w:line="240" w:lineRule="auto"/>
    </w:pPr>
    <w:rPr>
      <w:rFonts w:ascii="Times New Roman" w:eastAsia="Times New Roman" w:hAnsi="Times New Roman" w:cs="Angsana New"/>
      <w:b/>
      <w:sz w:val="24"/>
      <w:szCs w:val="20"/>
      <w:lang w:val="en-GB"/>
    </w:rPr>
  </w:style>
  <w:style w:type="character" w:customStyle="1" w:styleId="BodyText2Char">
    <w:name w:val="Body Text 2 Char"/>
    <w:basedOn w:val="DefaultParagraphFont"/>
    <w:link w:val="BodyText2"/>
    <w:rsid w:val="004C7EEE"/>
    <w:rPr>
      <w:rFonts w:ascii="Times New Roman" w:eastAsia="Times New Roman" w:hAnsi="Times New Roman" w:cs="Angsana New"/>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281227852">
      <w:bodyDiv w:val="1"/>
      <w:marLeft w:val="0"/>
      <w:marRight w:val="0"/>
      <w:marTop w:val="0"/>
      <w:marBottom w:val="0"/>
      <w:divBdr>
        <w:top w:val="none" w:sz="0" w:space="0" w:color="auto"/>
        <w:left w:val="none" w:sz="0" w:space="0" w:color="auto"/>
        <w:bottom w:val="none" w:sz="0" w:space="0" w:color="auto"/>
        <w:right w:val="none" w:sz="0" w:space="0" w:color="auto"/>
      </w:divBdr>
    </w:div>
    <w:div w:id="514151627">
      <w:bodyDiv w:val="1"/>
      <w:marLeft w:val="0"/>
      <w:marRight w:val="0"/>
      <w:marTop w:val="0"/>
      <w:marBottom w:val="0"/>
      <w:divBdr>
        <w:top w:val="none" w:sz="0" w:space="0" w:color="auto"/>
        <w:left w:val="none" w:sz="0" w:space="0" w:color="auto"/>
        <w:bottom w:val="none" w:sz="0" w:space="0" w:color="auto"/>
        <w:right w:val="none" w:sz="0" w:space="0" w:color="auto"/>
      </w:divBdr>
    </w:div>
    <w:div w:id="807280097">
      <w:bodyDiv w:val="1"/>
      <w:marLeft w:val="0"/>
      <w:marRight w:val="0"/>
      <w:marTop w:val="0"/>
      <w:marBottom w:val="0"/>
      <w:divBdr>
        <w:top w:val="none" w:sz="0" w:space="0" w:color="auto"/>
        <w:left w:val="none" w:sz="0" w:space="0" w:color="auto"/>
        <w:bottom w:val="none" w:sz="0" w:space="0" w:color="auto"/>
        <w:right w:val="none" w:sz="0" w:space="0" w:color="auto"/>
      </w:divBdr>
    </w:div>
    <w:div w:id="83021611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67991285">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a:solidFill>
                  <a:schemeClr val="tx1"/>
                </a:solidFill>
              </a:rPr>
              <a:t>Unit price</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6D9C-4555-B81D-BCBD90207A7F}"/>
              </c:ext>
            </c:extLst>
          </c:dPt>
          <c:cat>
            <c:numRef>
              <c:f>Chart!$A$2:$A$402</c:f>
              <c:numCache>
                <c:formatCode>[$-409]d\-mmm\-yy;@</c:formatCode>
                <c:ptCount val="401"/>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pt idx="275">
                  <c:v>45110</c:v>
                </c:pt>
                <c:pt idx="276">
                  <c:v>45117</c:v>
                </c:pt>
                <c:pt idx="277">
                  <c:v>45124</c:v>
                </c:pt>
                <c:pt idx="278">
                  <c:v>45131</c:v>
                </c:pt>
                <c:pt idx="279">
                  <c:v>45138</c:v>
                </c:pt>
                <c:pt idx="280">
                  <c:v>45145</c:v>
                </c:pt>
                <c:pt idx="281">
                  <c:v>45152</c:v>
                </c:pt>
                <c:pt idx="282">
                  <c:v>45159</c:v>
                </c:pt>
                <c:pt idx="283">
                  <c:v>45166</c:v>
                </c:pt>
                <c:pt idx="284">
                  <c:v>45169</c:v>
                </c:pt>
                <c:pt idx="285">
                  <c:v>45173</c:v>
                </c:pt>
                <c:pt idx="286">
                  <c:v>45180</c:v>
                </c:pt>
                <c:pt idx="287">
                  <c:v>45187</c:v>
                </c:pt>
                <c:pt idx="288">
                  <c:v>45194</c:v>
                </c:pt>
                <c:pt idx="289">
                  <c:v>45199</c:v>
                </c:pt>
                <c:pt idx="290">
                  <c:v>45201</c:v>
                </c:pt>
                <c:pt idx="291">
                  <c:v>45208</c:v>
                </c:pt>
                <c:pt idx="292">
                  <c:v>45215</c:v>
                </c:pt>
                <c:pt idx="293">
                  <c:v>45222</c:v>
                </c:pt>
                <c:pt idx="294">
                  <c:v>45229</c:v>
                </c:pt>
                <c:pt idx="295">
                  <c:v>45230</c:v>
                </c:pt>
                <c:pt idx="296">
                  <c:v>45236</c:v>
                </c:pt>
                <c:pt idx="297">
                  <c:v>45243</c:v>
                </c:pt>
                <c:pt idx="298">
                  <c:v>45250</c:v>
                </c:pt>
                <c:pt idx="299">
                  <c:v>45257</c:v>
                </c:pt>
                <c:pt idx="300">
                  <c:v>45260</c:v>
                </c:pt>
                <c:pt idx="301">
                  <c:v>45264</c:v>
                </c:pt>
                <c:pt idx="302">
                  <c:v>45271</c:v>
                </c:pt>
                <c:pt idx="303">
                  <c:v>45278</c:v>
                </c:pt>
                <c:pt idx="304">
                  <c:v>45285</c:v>
                </c:pt>
                <c:pt idx="305">
                  <c:v>45291</c:v>
                </c:pt>
                <c:pt idx="306">
                  <c:v>45292</c:v>
                </c:pt>
                <c:pt idx="307">
                  <c:v>45299</c:v>
                </c:pt>
                <c:pt idx="308">
                  <c:v>45306</c:v>
                </c:pt>
                <c:pt idx="309">
                  <c:v>45313</c:v>
                </c:pt>
                <c:pt idx="310">
                  <c:v>45320</c:v>
                </c:pt>
                <c:pt idx="311">
                  <c:v>45322</c:v>
                </c:pt>
                <c:pt idx="312">
                  <c:v>45327</c:v>
                </c:pt>
                <c:pt idx="313">
                  <c:v>45341</c:v>
                </c:pt>
                <c:pt idx="314">
                  <c:v>45348</c:v>
                </c:pt>
                <c:pt idx="315">
                  <c:v>45351</c:v>
                </c:pt>
                <c:pt idx="316">
                  <c:v>45355</c:v>
                </c:pt>
                <c:pt idx="317">
                  <c:v>45362</c:v>
                </c:pt>
                <c:pt idx="318">
                  <c:v>45369</c:v>
                </c:pt>
                <c:pt idx="319">
                  <c:v>45376</c:v>
                </c:pt>
                <c:pt idx="320">
                  <c:v>45382</c:v>
                </c:pt>
                <c:pt idx="321">
                  <c:v>45383</c:v>
                </c:pt>
                <c:pt idx="322">
                  <c:v>45390</c:v>
                </c:pt>
                <c:pt idx="323">
                  <c:v>45397</c:v>
                </c:pt>
                <c:pt idx="324">
                  <c:v>45404</c:v>
                </c:pt>
                <c:pt idx="325">
                  <c:v>45412</c:v>
                </c:pt>
                <c:pt idx="326">
                  <c:v>45418</c:v>
                </c:pt>
                <c:pt idx="327">
                  <c:v>45425</c:v>
                </c:pt>
                <c:pt idx="328">
                  <c:v>45432</c:v>
                </c:pt>
                <c:pt idx="329">
                  <c:v>45439</c:v>
                </c:pt>
                <c:pt idx="330">
                  <c:v>45443</c:v>
                </c:pt>
                <c:pt idx="331">
                  <c:v>45446</c:v>
                </c:pt>
                <c:pt idx="332">
                  <c:v>45453</c:v>
                </c:pt>
                <c:pt idx="333">
                  <c:v>45460</c:v>
                </c:pt>
                <c:pt idx="334">
                  <c:v>45467</c:v>
                </c:pt>
                <c:pt idx="335">
                  <c:v>45473</c:v>
                </c:pt>
                <c:pt idx="336">
                  <c:v>45474</c:v>
                </c:pt>
                <c:pt idx="337">
                  <c:v>45481</c:v>
                </c:pt>
                <c:pt idx="338">
                  <c:v>45488</c:v>
                </c:pt>
                <c:pt idx="339">
                  <c:v>45495</c:v>
                </c:pt>
                <c:pt idx="340">
                  <c:v>45502</c:v>
                </c:pt>
                <c:pt idx="341">
                  <c:v>45504</c:v>
                </c:pt>
                <c:pt idx="342">
                  <c:v>45509</c:v>
                </c:pt>
                <c:pt idx="343">
                  <c:v>45516</c:v>
                </c:pt>
                <c:pt idx="344">
                  <c:v>45523</c:v>
                </c:pt>
                <c:pt idx="345">
                  <c:v>45530</c:v>
                </c:pt>
                <c:pt idx="346">
                  <c:v>45535</c:v>
                </c:pt>
                <c:pt idx="347">
                  <c:v>45544</c:v>
                </c:pt>
                <c:pt idx="348">
                  <c:v>45551</c:v>
                </c:pt>
                <c:pt idx="349">
                  <c:v>45558</c:v>
                </c:pt>
                <c:pt idx="350">
                  <c:v>45565</c:v>
                </c:pt>
                <c:pt idx="351">
                  <c:v>45572</c:v>
                </c:pt>
                <c:pt idx="352">
                  <c:v>45579</c:v>
                </c:pt>
                <c:pt idx="353">
                  <c:v>45586</c:v>
                </c:pt>
                <c:pt idx="354">
                  <c:v>45593</c:v>
                </c:pt>
                <c:pt idx="355">
                  <c:v>45596</c:v>
                </c:pt>
                <c:pt idx="356">
                  <c:v>45600</c:v>
                </c:pt>
                <c:pt idx="357">
                  <c:v>45607</c:v>
                </c:pt>
                <c:pt idx="358">
                  <c:v>45614</c:v>
                </c:pt>
                <c:pt idx="359">
                  <c:v>45621</c:v>
                </c:pt>
                <c:pt idx="360">
                  <c:v>45626</c:v>
                </c:pt>
                <c:pt idx="361">
                  <c:v>45628</c:v>
                </c:pt>
                <c:pt idx="362">
                  <c:v>45635</c:v>
                </c:pt>
                <c:pt idx="363">
                  <c:v>45642</c:v>
                </c:pt>
                <c:pt idx="364">
                  <c:v>45649</c:v>
                </c:pt>
                <c:pt idx="365">
                  <c:v>45656</c:v>
                </c:pt>
                <c:pt idx="366">
                  <c:v>45657</c:v>
                </c:pt>
              </c:numCache>
            </c:numRef>
          </c:cat>
          <c:val>
            <c:numRef>
              <c:f>Chart!$B$2:$B$402</c:f>
              <c:numCache>
                <c:formatCode>_(* #,##0.00_);_(* \(#,##0.00\);_(* "-"??_);_(@_)</c:formatCode>
                <c:ptCount val="401"/>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pt idx="275">
                  <c:v>13368.95</c:v>
                </c:pt>
                <c:pt idx="276">
                  <c:v>13668.09</c:v>
                </c:pt>
                <c:pt idx="277">
                  <c:v>13898.44</c:v>
                </c:pt>
                <c:pt idx="278">
                  <c:v>14113.87</c:v>
                </c:pt>
                <c:pt idx="279">
                  <c:v>14508.84</c:v>
                </c:pt>
                <c:pt idx="280">
                  <c:v>14544.88</c:v>
                </c:pt>
                <c:pt idx="281">
                  <c:v>14345.88</c:v>
                </c:pt>
                <c:pt idx="282">
                  <c:v>13894.24</c:v>
                </c:pt>
                <c:pt idx="283">
                  <c:v>14188.42</c:v>
                </c:pt>
                <c:pt idx="284">
                  <c:v>14550.66</c:v>
                </c:pt>
                <c:pt idx="285">
                  <c:v>14547.33</c:v>
                </c:pt>
                <c:pt idx="286">
                  <c:v>14664.51</c:v>
                </c:pt>
                <c:pt idx="287">
                  <c:v>14623.49</c:v>
                </c:pt>
                <c:pt idx="288">
                  <c:v>14048.41</c:v>
                </c:pt>
                <c:pt idx="289">
                  <c:v>14057.12</c:v>
                </c:pt>
                <c:pt idx="290">
                  <c:v>14065.08</c:v>
                </c:pt>
                <c:pt idx="291">
                  <c:v>13913.04</c:v>
                </c:pt>
                <c:pt idx="292">
                  <c:v>14069.14</c:v>
                </c:pt>
                <c:pt idx="293">
                  <c:v>13440.23</c:v>
                </c:pt>
                <c:pt idx="294">
                  <c:v>12861.96</c:v>
                </c:pt>
                <c:pt idx="295">
                  <c:v>12710.1</c:v>
                </c:pt>
                <c:pt idx="296">
                  <c:v>13410.04</c:v>
                </c:pt>
                <c:pt idx="297">
                  <c:v>13624.87</c:v>
                </c:pt>
                <c:pt idx="298">
                  <c:v>13649.38</c:v>
                </c:pt>
                <c:pt idx="299">
                  <c:v>13444.92</c:v>
                </c:pt>
                <c:pt idx="300">
                  <c:v>13523.48</c:v>
                </c:pt>
                <c:pt idx="301">
                  <c:v>13817.2</c:v>
                </c:pt>
                <c:pt idx="302">
                  <c:v>13850.87</c:v>
                </c:pt>
                <c:pt idx="303">
                  <c:v>13461.22</c:v>
                </c:pt>
                <c:pt idx="304">
                  <c:v>13747.21</c:v>
                </c:pt>
                <c:pt idx="305">
                  <c:v>13891.27</c:v>
                </c:pt>
                <c:pt idx="306">
                  <c:v>13890.48</c:v>
                </c:pt>
                <c:pt idx="307">
                  <c:v>14280.92</c:v>
                </c:pt>
                <c:pt idx="308">
                  <c:v>14145.05</c:v>
                </c:pt>
                <c:pt idx="309">
                  <c:v>14489.91</c:v>
                </c:pt>
                <c:pt idx="310">
                  <c:v>14452.39</c:v>
                </c:pt>
                <c:pt idx="311">
                  <c:v>14306.02</c:v>
                </c:pt>
                <c:pt idx="312">
                  <c:v>14783.36</c:v>
                </c:pt>
                <c:pt idx="313">
                  <c:v>15111.55</c:v>
                </c:pt>
                <c:pt idx="314">
                  <c:v>15095.42</c:v>
                </c:pt>
                <c:pt idx="315">
                  <c:v>15549.08</c:v>
                </c:pt>
                <c:pt idx="316">
                  <c:v>15719.3</c:v>
                </c:pt>
                <c:pt idx="317">
                  <c:v>15412.71</c:v>
                </c:pt>
                <c:pt idx="318">
                  <c:v>15618.28</c:v>
                </c:pt>
                <c:pt idx="319">
                  <c:v>15844.92</c:v>
                </c:pt>
                <c:pt idx="320">
                  <c:v>16056.77</c:v>
                </c:pt>
                <c:pt idx="321">
                  <c:v>16056.86</c:v>
                </c:pt>
                <c:pt idx="322">
                  <c:v>15609.33</c:v>
                </c:pt>
                <c:pt idx="323">
                  <c:v>15101.46</c:v>
                </c:pt>
                <c:pt idx="324">
                  <c:v>14802.04</c:v>
                </c:pt>
                <c:pt idx="325">
                  <c:v>15249.92</c:v>
                </c:pt>
                <c:pt idx="326">
                  <c:v>15672.77</c:v>
                </c:pt>
                <c:pt idx="327">
                  <c:v>15732.73</c:v>
                </c:pt>
                <c:pt idx="328">
                  <c:v>16163.22</c:v>
                </c:pt>
                <c:pt idx="329">
                  <c:v>16070.48</c:v>
                </c:pt>
                <c:pt idx="330">
                  <c:v>15984.78</c:v>
                </c:pt>
                <c:pt idx="331">
                  <c:v>16235.08</c:v>
                </c:pt>
                <c:pt idx="332">
                  <c:v>16473.810000000001</c:v>
                </c:pt>
                <c:pt idx="333">
                  <c:v>16356.59</c:v>
                </c:pt>
                <c:pt idx="334">
                  <c:v>16130.44</c:v>
                </c:pt>
                <c:pt idx="335">
                  <c:v>15939.53</c:v>
                </c:pt>
                <c:pt idx="336">
                  <c:v>16011.25</c:v>
                </c:pt>
                <c:pt idx="337">
                  <c:v>16450.5</c:v>
                </c:pt>
                <c:pt idx="338">
                  <c:v>16347.65</c:v>
                </c:pt>
                <c:pt idx="339">
                  <c:v>16001.38</c:v>
                </c:pt>
                <c:pt idx="340">
                  <c:v>15900.09</c:v>
                </c:pt>
                <c:pt idx="341">
                  <c:v>15910.82</c:v>
                </c:pt>
                <c:pt idx="342">
                  <c:v>15048.19</c:v>
                </c:pt>
                <c:pt idx="343">
                  <c:v>15658.93</c:v>
                </c:pt>
                <c:pt idx="344">
                  <c:v>16077.79</c:v>
                </c:pt>
                <c:pt idx="345">
                  <c:v>16265.61</c:v>
                </c:pt>
                <c:pt idx="346">
                  <c:v>16322.54</c:v>
                </c:pt>
                <c:pt idx="347">
                  <c:v>16089.19</c:v>
                </c:pt>
                <c:pt idx="348">
                  <c:v>15880.5</c:v>
                </c:pt>
                <c:pt idx="349">
                  <c:v>16289.51</c:v>
                </c:pt>
                <c:pt idx="350">
                  <c:v>16433.169999999998</c:v>
                </c:pt>
                <c:pt idx="351">
                  <c:v>16177.19</c:v>
                </c:pt>
                <c:pt idx="352">
                  <c:v>16367.99</c:v>
                </c:pt>
                <c:pt idx="353">
                  <c:v>16121.23</c:v>
                </c:pt>
                <c:pt idx="354">
                  <c:v>15848.71</c:v>
                </c:pt>
                <c:pt idx="355">
                  <c:v>15924.82</c:v>
                </c:pt>
                <c:pt idx="356">
                  <c:v>15631.22</c:v>
                </c:pt>
                <c:pt idx="357">
                  <c:v>15796.36</c:v>
                </c:pt>
                <c:pt idx="358">
                  <c:v>15323.98</c:v>
                </c:pt>
                <c:pt idx="359">
                  <c:v>15486.95</c:v>
                </c:pt>
                <c:pt idx="360">
                  <c:v>15792.87</c:v>
                </c:pt>
                <c:pt idx="361">
                  <c:v>15791.92</c:v>
                </c:pt>
                <c:pt idx="362">
                  <c:v>16081.79</c:v>
                </c:pt>
                <c:pt idx="363">
                  <c:v>15991.49</c:v>
                </c:pt>
                <c:pt idx="364">
                  <c:v>15972.03</c:v>
                </c:pt>
                <c:pt idx="365">
                  <c:v>16110.57</c:v>
                </c:pt>
                <c:pt idx="366">
                  <c:v>16095.8</c:v>
                </c:pt>
              </c:numCache>
            </c:numRef>
          </c:val>
          <c:smooth val="0"/>
          <c:extLst>
            <c:ext xmlns:c16="http://schemas.microsoft.com/office/drawing/2014/chart" uri="{C3380CC4-5D6E-409C-BE32-E72D297353CC}">
              <c16:uniqueId val="{00000001-6D9C-4555-B81D-BCBD90207A7F}"/>
            </c:ext>
          </c:extLst>
        </c:ser>
        <c:dLbls>
          <c:showLegendKey val="0"/>
          <c:showVal val="0"/>
          <c:showCatName val="0"/>
          <c:showSerName val="0"/>
          <c:showPercent val="0"/>
          <c:showBubbleSize val="0"/>
        </c:dLbls>
        <c:smooth val="0"/>
        <c:axId val="528596872"/>
        <c:axId val="518169832"/>
      </c:lineChart>
      <c:dateAx>
        <c:axId val="528596872"/>
        <c:scaling>
          <c:orientation val="minMax"/>
          <c:max val="45657"/>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Q6KKSzqICmFJjAQGMic0ugaOcRa/Vz8yRZQ1l42H1hA=</DigestValue>
    </Reference>
    <Reference Type="http://www.w3.org/2000/09/xmldsig#Object" URI="#idOfficeObject">
      <DigestMethod Algorithm="http://www.w3.org/2001/04/xmlenc#sha256"/>
      <DigestValue>p1tn9zkZOHv9RhJw0k2kNnlVTIZbKXnb0DSylJwr6D8=</DigestValue>
    </Reference>
    <Reference Type="http://uri.etsi.org/01903#SignedProperties" URI="#idSignedProperties">
      <Transforms>
        <Transform Algorithm="http://www.w3.org/TR/2001/REC-xml-c14n-20010315"/>
      </Transforms>
      <DigestMethod Algorithm="http://www.w3.org/2001/04/xmlenc#sha256"/>
      <DigestValue>o96iK3lUCbbOjNg8bfcKZ/KFtGOi593sIu0JjNMzHfU=</DigestValue>
    </Reference>
  </SignedInfo>
  <SignatureValue>uwNuSqt+zsYjDowMTefijjdr1EHRTV+kSNmHzZgR28GCBc5Dd5KWBtP4KqBdzg1ECHB5KiH2OCjS
KmsedteuN+Y9s3vMtzlruR5ZXNO4oVrKcwUlYo98abh8DaX6KVdXVy/jMb2LMZ0HGXkt3ebn04cQ
vlsF6xgIYFNNmShGbzn9YkqV1Ap8l8V6sg7xD1Zd5hkH7Du7F8PiPxr9JWI5ah6kKgPbeQaijNBw
Yk1SpBuOO9/pn+ATrpZXFF66ZqO5WZNBrfyZXOTwXVW5bBzTw3T1rb6t7K1FxRqCn1CrVEyTgume
pCk6Hthdw2Tr9zHpu6O9utt2JE82w8hKf2Yznw==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jTWiL3tazeewTXgtzBRRnHVLEPoURbD1+UnmDBsZAxU=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Czt/+N+ZjZqjV4Fp+W0w9mZ53z7cHKVMoIN595kXMjY=</DigestValue>
      </Reference>
      <Reference URI="/word/charts/chart1.xml?ContentType=application/vnd.openxmlformats-officedocument.drawingml.chart+xml">
        <DigestMethod Algorithm="http://www.w3.org/2001/04/xmlenc#sha256"/>
        <DigestValue>ux0yHT7aMG5UU5SUbyYlElaAsTGvRRqzDk4E32cky4I=</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Go8wizBop+WptZQzECfR2CrVDYd8V2/X2MGuMtQ0TtE=</DigestValue>
      </Reference>
      <Reference URI="/word/document.xml?ContentType=application/vnd.openxmlformats-officedocument.wordprocessingml.document.main+xml">
        <DigestMethod Algorithm="http://www.w3.org/2001/04/xmlenc#sha256"/>
        <DigestValue>txXXYxn9p8G49ofc3he4MP4MBnjlpd4wU+bVQvOSlvA=</DigestValue>
      </Reference>
      <Reference URI="/word/fontTable.xml?ContentType=application/vnd.openxmlformats-officedocument.wordprocessingml.fontTable+xml">
        <DigestMethod Algorithm="http://www.w3.org/2001/04/xmlenc#sha256"/>
        <DigestValue>2/7FeyV7+UuVHAb8LQ6CeLGUcSjvMnb+topEuIjgoXI=</DigestValue>
      </Reference>
      <Reference URI="/word/media/image1.png?ContentType=image/png">
        <DigestMethod Algorithm="http://www.w3.org/2001/04/xmlenc#sha256"/>
        <DigestValue>iYfXpDt1WIomPjnNnYolmZmUEfzapDyaeyyK9mWpSoI=</DigestValue>
      </Reference>
      <Reference URI="/word/numbering.xml?ContentType=application/vnd.openxmlformats-officedocument.wordprocessingml.numbering+xml">
        <DigestMethod Algorithm="http://www.w3.org/2001/04/xmlenc#sha256"/>
        <DigestValue>zaIj51uBb30AD4UWhn9falfwQ1EYg0LLsYPgcYI6vfM=</DigestValue>
      </Reference>
      <Reference URI="/word/settings.xml?ContentType=application/vnd.openxmlformats-officedocument.wordprocessingml.settings+xml">
        <DigestMethod Algorithm="http://www.w3.org/2001/04/xmlenc#sha256"/>
        <DigestValue>2wv+8Mdeotlh6iDTv5hreO1MkQZ4dqkEzT5wNAOd53A=</DigestValue>
      </Reference>
      <Reference URI="/word/styles.xml?ContentType=application/vnd.openxmlformats-officedocument.wordprocessingml.styles+xml">
        <DigestMethod Algorithm="http://www.w3.org/2001/04/xmlenc#sha256"/>
        <DigestValue>W9HnR3iNa8qfC4VpuQJZlmtd1Z9jBYDgIAUTAzqmtfE=</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q5OPrWkTvUDxQ+TpUjk0OVI+wscptraGwuyuTTpmnZQ=</DigestValue>
      </Reference>
    </Manifest>
    <SignatureProperties>
      <SignatureProperty Id="idSignatureTime" Target="#idPackageSignature">
        <mdssi:SignatureTime xmlns:mdssi="http://schemas.openxmlformats.org/package/2006/digital-signature">
          <mdssi:Format>YYYY-MM-DDThh:mm:ssTZD</mdssi:Format>
          <mdssi:Value>2025-01-15T09:00:54Z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2025-01-15T09:00:54Z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8360-1348-4719-AED0-225D3867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Phuong, Ho Thi Mai [DFVN]</cp:lastModifiedBy>
  <cp:revision>50</cp:revision>
  <dcterms:created xsi:type="dcterms:W3CDTF">2020-02-21T02:57:00Z</dcterms:created>
  <dcterms:modified xsi:type="dcterms:W3CDTF">2025-01-15T02:45:00Z</dcterms:modified>
</cp:coreProperties>
</file>